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4E" w:rsidRDefault="00756FAD" w:rsidP="00D37F6B">
      <w:pPr>
        <w:widowControl w:val="0"/>
        <w:ind w:right="-1"/>
        <w:jc w:val="center"/>
        <w:rPr>
          <w:b/>
          <w:szCs w:val="28"/>
        </w:rPr>
      </w:pPr>
      <w:r>
        <w:rPr>
          <w:b/>
          <w:szCs w:val="28"/>
        </w:rPr>
        <w:t>ИНФОРМАЦИЯ</w:t>
      </w:r>
    </w:p>
    <w:p w:rsidR="00756FAD" w:rsidRDefault="00756FAD" w:rsidP="00756FAD">
      <w:pPr>
        <w:widowControl w:val="0"/>
        <w:ind w:right="-1"/>
        <w:jc w:val="center"/>
        <w:rPr>
          <w:b/>
          <w:szCs w:val="28"/>
        </w:rPr>
      </w:pPr>
      <w:r>
        <w:rPr>
          <w:b/>
          <w:szCs w:val="28"/>
        </w:rPr>
        <w:t>об основных направлениях и результатах деятельности</w:t>
      </w:r>
      <w:r w:rsidR="00E04045">
        <w:rPr>
          <w:b/>
          <w:szCs w:val="28"/>
        </w:rPr>
        <w:t xml:space="preserve"> отдела контроля за соблюдением антимонопольного законодательства</w:t>
      </w:r>
    </w:p>
    <w:p w:rsidR="00A3294E" w:rsidRDefault="00A3294E" w:rsidP="00756FAD">
      <w:pPr>
        <w:widowControl w:val="0"/>
        <w:ind w:right="-1"/>
        <w:jc w:val="center"/>
        <w:rPr>
          <w:b/>
          <w:szCs w:val="28"/>
        </w:rPr>
      </w:pPr>
      <w:r>
        <w:rPr>
          <w:b/>
          <w:szCs w:val="28"/>
        </w:rPr>
        <w:t>Управления Федеральной антимонопольной службы</w:t>
      </w:r>
    </w:p>
    <w:p w:rsidR="00A3294E" w:rsidRPr="00B05750" w:rsidRDefault="00A3294E" w:rsidP="00756FAD">
      <w:pPr>
        <w:widowControl w:val="0"/>
        <w:ind w:right="-1"/>
        <w:jc w:val="center"/>
        <w:rPr>
          <w:b/>
          <w:szCs w:val="28"/>
        </w:rPr>
      </w:pPr>
      <w:r>
        <w:rPr>
          <w:b/>
          <w:szCs w:val="28"/>
        </w:rPr>
        <w:t xml:space="preserve">по Ростовской </w:t>
      </w:r>
      <w:r w:rsidR="00E04045">
        <w:rPr>
          <w:b/>
          <w:szCs w:val="28"/>
        </w:rPr>
        <w:t>области по итогам работы за первое полугодие 2020 года</w:t>
      </w:r>
    </w:p>
    <w:p w:rsidR="008B4C70" w:rsidRDefault="008B4C70" w:rsidP="00A05EB1">
      <w:pPr>
        <w:jc w:val="both"/>
        <w:rPr>
          <w:szCs w:val="28"/>
        </w:rPr>
      </w:pPr>
    </w:p>
    <w:p w:rsidR="009E13C4" w:rsidRPr="009B7D13" w:rsidRDefault="009E13C4" w:rsidP="008B4C70">
      <w:pPr>
        <w:pStyle w:val="3"/>
        <w:widowControl w:val="0"/>
        <w:numPr>
          <w:ilvl w:val="0"/>
          <w:numId w:val="0"/>
        </w:numPr>
        <w:jc w:val="center"/>
      </w:pPr>
      <w:r w:rsidRPr="009B7D13">
        <w:t xml:space="preserve">Практика выявления и пресечения нарушений Закона </w:t>
      </w:r>
      <w:r w:rsidR="00BE26D8" w:rsidRPr="009B7D13">
        <w:t>о</w:t>
      </w:r>
      <w:r w:rsidR="007228D6" w:rsidRPr="009B7D13">
        <w:t xml:space="preserve"> защите конкуренции</w:t>
      </w:r>
      <w:r w:rsidRPr="009B7D13">
        <w:t xml:space="preserve"> в виде злоупотреблени</w:t>
      </w:r>
      <w:r w:rsidR="00DD05CA" w:rsidRPr="009B7D13">
        <w:t>я</w:t>
      </w:r>
      <w:r w:rsidRPr="009B7D13">
        <w:t xml:space="preserve"> хозяйствующих субъектов доминирующим положением на рынке (статья </w:t>
      </w:r>
      <w:r w:rsidR="007228D6" w:rsidRPr="009B7D13">
        <w:t>10</w:t>
      </w:r>
      <w:r w:rsidR="00DD05CA" w:rsidRPr="009B7D13">
        <w:t>)</w:t>
      </w:r>
    </w:p>
    <w:p w:rsidR="00352E1B" w:rsidRDefault="00352E1B" w:rsidP="00756FAD">
      <w:pPr>
        <w:widowControl w:val="0"/>
        <w:ind w:firstLine="709"/>
        <w:jc w:val="both"/>
        <w:rPr>
          <w:szCs w:val="28"/>
        </w:rPr>
      </w:pPr>
    </w:p>
    <w:tbl>
      <w:tblPr>
        <w:tblStyle w:val="afa"/>
        <w:tblW w:w="0" w:type="auto"/>
        <w:tblLook w:val="04A0" w:firstRow="1" w:lastRow="0" w:firstColumn="1" w:lastColumn="0" w:noHBand="0" w:noVBand="1"/>
      </w:tblPr>
      <w:tblGrid>
        <w:gridCol w:w="3256"/>
        <w:gridCol w:w="2126"/>
        <w:gridCol w:w="2126"/>
        <w:gridCol w:w="2120"/>
      </w:tblGrid>
      <w:tr w:rsidR="008B4C70" w:rsidRPr="008B4C70" w:rsidTr="008B4C70">
        <w:tc>
          <w:tcPr>
            <w:tcW w:w="3256" w:type="dxa"/>
          </w:tcPr>
          <w:p w:rsidR="008B4C70" w:rsidRPr="008B4C70" w:rsidRDefault="008B4C70" w:rsidP="008B4C70">
            <w:pPr>
              <w:widowControl w:val="0"/>
              <w:jc w:val="both"/>
              <w:rPr>
                <w:sz w:val="24"/>
                <w:szCs w:val="24"/>
              </w:rPr>
            </w:pPr>
          </w:p>
        </w:tc>
        <w:tc>
          <w:tcPr>
            <w:tcW w:w="2126" w:type="dxa"/>
          </w:tcPr>
          <w:p w:rsidR="008B4C70" w:rsidRPr="008B4C70" w:rsidRDefault="008B4C70" w:rsidP="008B4C70">
            <w:pPr>
              <w:widowControl w:val="0"/>
              <w:jc w:val="center"/>
              <w:rPr>
                <w:b/>
                <w:sz w:val="24"/>
                <w:szCs w:val="24"/>
              </w:rPr>
            </w:pPr>
            <w:r w:rsidRPr="008B4C70">
              <w:rPr>
                <w:b/>
                <w:sz w:val="24"/>
                <w:szCs w:val="24"/>
                <w:lang w:val="en-US"/>
              </w:rPr>
              <w:t>I</w:t>
            </w:r>
            <w:r w:rsidRPr="008B4C70">
              <w:rPr>
                <w:b/>
                <w:sz w:val="24"/>
                <w:szCs w:val="24"/>
              </w:rPr>
              <w:t xml:space="preserve"> полугодие 2018</w:t>
            </w:r>
          </w:p>
        </w:tc>
        <w:tc>
          <w:tcPr>
            <w:tcW w:w="2126" w:type="dxa"/>
          </w:tcPr>
          <w:p w:rsidR="008B4C70" w:rsidRPr="008B4C70" w:rsidRDefault="008B4C70" w:rsidP="008B4C70">
            <w:pPr>
              <w:widowControl w:val="0"/>
              <w:jc w:val="center"/>
              <w:rPr>
                <w:b/>
                <w:sz w:val="24"/>
                <w:szCs w:val="24"/>
              </w:rPr>
            </w:pPr>
            <w:r w:rsidRPr="008B4C70">
              <w:rPr>
                <w:b/>
                <w:sz w:val="24"/>
                <w:szCs w:val="24"/>
                <w:lang w:val="en-US"/>
              </w:rPr>
              <w:t>I</w:t>
            </w:r>
            <w:r w:rsidRPr="008B4C70">
              <w:rPr>
                <w:b/>
                <w:sz w:val="24"/>
                <w:szCs w:val="24"/>
              </w:rPr>
              <w:t xml:space="preserve"> полугодие 2019</w:t>
            </w:r>
          </w:p>
        </w:tc>
        <w:tc>
          <w:tcPr>
            <w:tcW w:w="2120" w:type="dxa"/>
          </w:tcPr>
          <w:p w:rsidR="008B4C70" w:rsidRPr="008B4C70" w:rsidRDefault="008B4C70" w:rsidP="008B4C70">
            <w:pPr>
              <w:widowControl w:val="0"/>
              <w:jc w:val="center"/>
              <w:rPr>
                <w:b/>
                <w:sz w:val="24"/>
                <w:szCs w:val="24"/>
              </w:rPr>
            </w:pPr>
            <w:r w:rsidRPr="008B4C70">
              <w:rPr>
                <w:b/>
                <w:sz w:val="24"/>
                <w:szCs w:val="24"/>
                <w:lang w:val="en-US"/>
              </w:rPr>
              <w:t>I</w:t>
            </w:r>
            <w:r w:rsidRPr="008B4C70">
              <w:rPr>
                <w:b/>
                <w:sz w:val="24"/>
                <w:szCs w:val="24"/>
              </w:rPr>
              <w:t xml:space="preserve"> полугодие 2020</w:t>
            </w:r>
          </w:p>
        </w:tc>
      </w:tr>
      <w:tr w:rsidR="008B4C70" w:rsidRPr="008B4C70" w:rsidTr="008B4C70">
        <w:tc>
          <w:tcPr>
            <w:tcW w:w="3256" w:type="dxa"/>
          </w:tcPr>
          <w:p w:rsidR="008B4C70" w:rsidRPr="008B4C70" w:rsidRDefault="008B4C70" w:rsidP="008B4C70">
            <w:pPr>
              <w:widowControl w:val="0"/>
              <w:jc w:val="both"/>
              <w:rPr>
                <w:sz w:val="24"/>
                <w:szCs w:val="24"/>
              </w:rPr>
            </w:pPr>
            <w:r w:rsidRPr="008B4C70">
              <w:rPr>
                <w:sz w:val="24"/>
                <w:szCs w:val="24"/>
              </w:rPr>
              <w:t>Возбуждено дел</w:t>
            </w:r>
          </w:p>
        </w:tc>
        <w:tc>
          <w:tcPr>
            <w:tcW w:w="2126" w:type="dxa"/>
            <w:vAlign w:val="center"/>
          </w:tcPr>
          <w:p w:rsidR="008B4C70" w:rsidRPr="008B4C70" w:rsidRDefault="008B4C70" w:rsidP="008B4C70">
            <w:pPr>
              <w:widowControl w:val="0"/>
              <w:jc w:val="center"/>
              <w:rPr>
                <w:sz w:val="24"/>
                <w:szCs w:val="24"/>
              </w:rPr>
            </w:pPr>
            <w:r>
              <w:rPr>
                <w:sz w:val="24"/>
                <w:szCs w:val="24"/>
              </w:rPr>
              <w:t>12</w:t>
            </w:r>
          </w:p>
        </w:tc>
        <w:tc>
          <w:tcPr>
            <w:tcW w:w="2126" w:type="dxa"/>
            <w:vAlign w:val="center"/>
          </w:tcPr>
          <w:p w:rsidR="008B4C70" w:rsidRPr="008B4C70" w:rsidRDefault="008B4C70" w:rsidP="008B4C70">
            <w:pPr>
              <w:widowControl w:val="0"/>
              <w:jc w:val="center"/>
              <w:rPr>
                <w:sz w:val="24"/>
                <w:szCs w:val="24"/>
              </w:rPr>
            </w:pPr>
            <w:r>
              <w:rPr>
                <w:sz w:val="24"/>
                <w:szCs w:val="24"/>
              </w:rPr>
              <w:t>14</w:t>
            </w:r>
          </w:p>
        </w:tc>
        <w:tc>
          <w:tcPr>
            <w:tcW w:w="2120" w:type="dxa"/>
            <w:vAlign w:val="center"/>
          </w:tcPr>
          <w:p w:rsidR="008B4C70" w:rsidRPr="008B4C70" w:rsidRDefault="008B4C70" w:rsidP="008B4C70">
            <w:pPr>
              <w:widowControl w:val="0"/>
              <w:jc w:val="center"/>
              <w:rPr>
                <w:sz w:val="24"/>
                <w:szCs w:val="24"/>
              </w:rPr>
            </w:pPr>
            <w:r>
              <w:rPr>
                <w:sz w:val="24"/>
                <w:szCs w:val="24"/>
              </w:rPr>
              <w:t>6</w:t>
            </w:r>
          </w:p>
        </w:tc>
      </w:tr>
      <w:tr w:rsidR="008B4C70" w:rsidRPr="008B4C70" w:rsidTr="008B4C70">
        <w:tc>
          <w:tcPr>
            <w:tcW w:w="3256" w:type="dxa"/>
          </w:tcPr>
          <w:p w:rsidR="008B4C70" w:rsidRPr="008B4C70" w:rsidRDefault="008B4C70" w:rsidP="008B4C70">
            <w:pPr>
              <w:widowControl w:val="0"/>
              <w:jc w:val="both"/>
              <w:rPr>
                <w:sz w:val="24"/>
                <w:szCs w:val="24"/>
              </w:rPr>
            </w:pPr>
            <w:r w:rsidRPr="008B4C70">
              <w:rPr>
                <w:sz w:val="24"/>
                <w:szCs w:val="24"/>
              </w:rPr>
              <w:t>Признано фактов нарушений</w:t>
            </w:r>
          </w:p>
        </w:tc>
        <w:tc>
          <w:tcPr>
            <w:tcW w:w="2126" w:type="dxa"/>
            <w:vAlign w:val="center"/>
          </w:tcPr>
          <w:p w:rsidR="008B4C70" w:rsidRPr="008B4C70" w:rsidRDefault="008B4C70" w:rsidP="008B4C70">
            <w:pPr>
              <w:widowControl w:val="0"/>
              <w:jc w:val="center"/>
              <w:rPr>
                <w:sz w:val="24"/>
                <w:szCs w:val="24"/>
              </w:rPr>
            </w:pPr>
            <w:r>
              <w:rPr>
                <w:sz w:val="24"/>
                <w:szCs w:val="24"/>
              </w:rPr>
              <w:t>8</w:t>
            </w:r>
          </w:p>
        </w:tc>
        <w:tc>
          <w:tcPr>
            <w:tcW w:w="2126" w:type="dxa"/>
            <w:vAlign w:val="center"/>
          </w:tcPr>
          <w:p w:rsidR="008B4C70" w:rsidRPr="008B4C70" w:rsidRDefault="008B4C70" w:rsidP="008B4C70">
            <w:pPr>
              <w:widowControl w:val="0"/>
              <w:jc w:val="center"/>
              <w:rPr>
                <w:sz w:val="24"/>
                <w:szCs w:val="24"/>
              </w:rPr>
            </w:pPr>
            <w:r>
              <w:rPr>
                <w:sz w:val="24"/>
                <w:szCs w:val="24"/>
              </w:rPr>
              <w:t>7</w:t>
            </w:r>
          </w:p>
        </w:tc>
        <w:tc>
          <w:tcPr>
            <w:tcW w:w="2120" w:type="dxa"/>
            <w:vAlign w:val="center"/>
          </w:tcPr>
          <w:p w:rsidR="008B4C70" w:rsidRPr="008B4C70" w:rsidRDefault="008B4C70" w:rsidP="008B4C70">
            <w:pPr>
              <w:widowControl w:val="0"/>
              <w:jc w:val="center"/>
              <w:rPr>
                <w:sz w:val="24"/>
                <w:szCs w:val="24"/>
              </w:rPr>
            </w:pPr>
            <w:r>
              <w:rPr>
                <w:sz w:val="24"/>
                <w:szCs w:val="24"/>
              </w:rPr>
              <w:t>6</w:t>
            </w:r>
          </w:p>
        </w:tc>
      </w:tr>
      <w:tr w:rsidR="008B4C70" w:rsidRPr="008B4C70" w:rsidTr="008B4C70">
        <w:tc>
          <w:tcPr>
            <w:tcW w:w="3256" w:type="dxa"/>
          </w:tcPr>
          <w:p w:rsidR="008B4C70" w:rsidRPr="008B4C70" w:rsidRDefault="008B4C70" w:rsidP="008B4C70">
            <w:pPr>
              <w:widowControl w:val="0"/>
              <w:jc w:val="both"/>
              <w:rPr>
                <w:sz w:val="24"/>
                <w:szCs w:val="24"/>
              </w:rPr>
            </w:pPr>
            <w:r w:rsidRPr="008B4C70">
              <w:rPr>
                <w:sz w:val="24"/>
                <w:szCs w:val="24"/>
              </w:rPr>
              <w:t>Выдано предписаний</w:t>
            </w:r>
          </w:p>
        </w:tc>
        <w:tc>
          <w:tcPr>
            <w:tcW w:w="2126" w:type="dxa"/>
            <w:vAlign w:val="center"/>
          </w:tcPr>
          <w:p w:rsidR="008B4C70" w:rsidRPr="008B4C70" w:rsidRDefault="00073263" w:rsidP="008B4C70">
            <w:pPr>
              <w:widowControl w:val="0"/>
              <w:jc w:val="center"/>
              <w:rPr>
                <w:sz w:val="24"/>
                <w:szCs w:val="24"/>
              </w:rPr>
            </w:pPr>
            <w:r>
              <w:rPr>
                <w:sz w:val="24"/>
                <w:szCs w:val="24"/>
              </w:rPr>
              <w:t>6</w:t>
            </w:r>
          </w:p>
        </w:tc>
        <w:tc>
          <w:tcPr>
            <w:tcW w:w="2126" w:type="dxa"/>
            <w:vAlign w:val="center"/>
          </w:tcPr>
          <w:p w:rsidR="008B4C70" w:rsidRPr="008B4C70" w:rsidRDefault="00073263" w:rsidP="008B4C70">
            <w:pPr>
              <w:widowControl w:val="0"/>
              <w:jc w:val="center"/>
              <w:rPr>
                <w:sz w:val="24"/>
                <w:szCs w:val="24"/>
              </w:rPr>
            </w:pPr>
            <w:r>
              <w:rPr>
                <w:sz w:val="24"/>
                <w:szCs w:val="24"/>
              </w:rPr>
              <w:t>2</w:t>
            </w:r>
          </w:p>
        </w:tc>
        <w:tc>
          <w:tcPr>
            <w:tcW w:w="2120" w:type="dxa"/>
            <w:vAlign w:val="center"/>
          </w:tcPr>
          <w:p w:rsidR="008B4C70" w:rsidRPr="008B4C70" w:rsidRDefault="00073263" w:rsidP="008B4C70">
            <w:pPr>
              <w:widowControl w:val="0"/>
              <w:jc w:val="center"/>
              <w:rPr>
                <w:sz w:val="24"/>
                <w:szCs w:val="24"/>
              </w:rPr>
            </w:pPr>
            <w:r>
              <w:rPr>
                <w:sz w:val="24"/>
                <w:szCs w:val="24"/>
              </w:rPr>
              <w:t>2</w:t>
            </w:r>
          </w:p>
        </w:tc>
      </w:tr>
      <w:tr w:rsidR="008B4C70" w:rsidRPr="008B4C70" w:rsidTr="008B4C70">
        <w:tc>
          <w:tcPr>
            <w:tcW w:w="3256" w:type="dxa"/>
          </w:tcPr>
          <w:p w:rsidR="008B4C70" w:rsidRPr="008B4C70" w:rsidRDefault="008B4C70" w:rsidP="008B4C70">
            <w:pPr>
              <w:widowControl w:val="0"/>
              <w:jc w:val="both"/>
              <w:rPr>
                <w:sz w:val="24"/>
                <w:szCs w:val="24"/>
              </w:rPr>
            </w:pPr>
            <w:r w:rsidRPr="008B4C70">
              <w:rPr>
                <w:sz w:val="24"/>
                <w:szCs w:val="24"/>
              </w:rPr>
              <w:t>Выдано предупреждений</w:t>
            </w:r>
          </w:p>
        </w:tc>
        <w:tc>
          <w:tcPr>
            <w:tcW w:w="2126" w:type="dxa"/>
            <w:vAlign w:val="center"/>
          </w:tcPr>
          <w:p w:rsidR="008B4C70" w:rsidRPr="008B4C70" w:rsidRDefault="00AA1C91" w:rsidP="008B4C70">
            <w:pPr>
              <w:widowControl w:val="0"/>
              <w:jc w:val="center"/>
              <w:rPr>
                <w:sz w:val="24"/>
                <w:szCs w:val="24"/>
              </w:rPr>
            </w:pPr>
            <w:r>
              <w:rPr>
                <w:sz w:val="24"/>
                <w:szCs w:val="24"/>
              </w:rPr>
              <w:t>2</w:t>
            </w:r>
          </w:p>
        </w:tc>
        <w:tc>
          <w:tcPr>
            <w:tcW w:w="2126" w:type="dxa"/>
            <w:vAlign w:val="center"/>
          </w:tcPr>
          <w:p w:rsidR="008B4C70" w:rsidRPr="008B4C70" w:rsidRDefault="00AA1C91" w:rsidP="008B4C70">
            <w:pPr>
              <w:widowControl w:val="0"/>
              <w:jc w:val="center"/>
              <w:rPr>
                <w:sz w:val="24"/>
                <w:szCs w:val="24"/>
              </w:rPr>
            </w:pPr>
            <w:r>
              <w:rPr>
                <w:sz w:val="24"/>
                <w:szCs w:val="24"/>
              </w:rPr>
              <w:t>12</w:t>
            </w:r>
          </w:p>
        </w:tc>
        <w:tc>
          <w:tcPr>
            <w:tcW w:w="2120" w:type="dxa"/>
            <w:vAlign w:val="center"/>
          </w:tcPr>
          <w:p w:rsidR="008B4C70" w:rsidRPr="008B4C70" w:rsidRDefault="00AA1C91" w:rsidP="008B4C70">
            <w:pPr>
              <w:widowControl w:val="0"/>
              <w:jc w:val="center"/>
              <w:rPr>
                <w:sz w:val="24"/>
                <w:szCs w:val="24"/>
              </w:rPr>
            </w:pPr>
            <w:r>
              <w:rPr>
                <w:sz w:val="24"/>
                <w:szCs w:val="24"/>
              </w:rPr>
              <w:t>7</w:t>
            </w:r>
          </w:p>
        </w:tc>
      </w:tr>
    </w:tbl>
    <w:p w:rsidR="004B67A9" w:rsidRDefault="004B67A9" w:rsidP="004B67A9">
      <w:pPr>
        <w:pStyle w:val="a9"/>
        <w:ind w:firstLine="0"/>
      </w:pPr>
    </w:p>
    <w:p w:rsidR="004B67A9" w:rsidRDefault="004B67A9" w:rsidP="004B67A9">
      <w:pPr>
        <w:pStyle w:val="a9"/>
        <w:ind w:firstLine="0"/>
        <w:jc w:val="center"/>
        <w:rPr>
          <w:b/>
        </w:rPr>
      </w:pPr>
      <w:r w:rsidRPr="004B67A9">
        <w:rPr>
          <w:b/>
        </w:rPr>
        <w:t>П</w:t>
      </w:r>
      <w:r w:rsidR="00E33863">
        <w:rPr>
          <w:b/>
        </w:rPr>
        <w:t>рактика применения</w:t>
      </w:r>
      <w:r w:rsidRPr="004B67A9">
        <w:rPr>
          <w:b/>
        </w:rPr>
        <w:t xml:space="preserve"> КоАП РФ</w:t>
      </w:r>
    </w:p>
    <w:p w:rsidR="00E33863" w:rsidRDefault="00E33863" w:rsidP="004B67A9">
      <w:pPr>
        <w:pStyle w:val="a9"/>
        <w:ind w:firstLine="0"/>
        <w:jc w:val="center"/>
        <w:rPr>
          <w:b/>
        </w:rPr>
      </w:pPr>
    </w:p>
    <w:tbl>
      <w:tblPr>
        <w:tblStyle w:val="afa"/>
        <w:tblW w:w="0" w:type="auto"/>
        <w:tblLook w:val="04A0" w:firstRow="1" w:lastRow="0" w:firstColumn="1" w:lastColumn="0" w:noHBand="0" w:noVBand="1"/>
      </w:tblPr>
      <w:tblGrid>
        <w:gridCol w:w="2830"/>
        <w:gridCol w:w="2268"/>
        <w:gridCol w:w="2410"/>
        <w:gridCol w:w="2120"/>
      </w:tblGrid>
      <w:tr w:rsidR="00E33863" w:rsidTr="00BD6D45">
        <w:tc>
          <w:tcPr>
            <w:tcW w:w="2830" w:type="dxa"/>
          </w:tcPr>
          <w:p w:rsidR="00E33863" w:rsidRDefault="00E33863" w:rsidP="00E33863">
            <w:pPr>
              <w:pStyle w:val="a9"/>
              <w:ind w:firstLine="0"/>
              <w:jc w:val="center"/>
              <w:rPr>
                <w:b/>
              </w:rPr>
            </w:pPr>
          </w:p>
        </w:tc>
        <w:tc>
          <w:tcPr>
            <w:tcW w:w="2268" w:type="dxa"/>
          </w:tcPr>
          <w:p w:rsidR="00E33863" w:rsidRPr="00BD6D45" w:rsidRDefault="00E33863" w:rsidP="00E33863">
            <w:pPr>
              <w:widowControl w:val="0"/>
              <w:jc w:val="center"/>
              <w:rPr>
                <w:b/>
                <w:i/>
                <w:sz w:val="24"/>
                <w:szCs w:val="24"/>
              </w:rPr>
            </w:pPr>
            <w:r w:rsidRPr="00BD6D45">
              <w:rPr>
                <w:b/>
                <w:i/>
                <w:sz w:val="24"/>
                <w:szCs w:val="24"/>
                <w:lang w:val="en-US"/>
              </w:rPr>
              <w:t>I</w:t>
            </w:r>
            <w:r w:rsidRPr="00BD6D45">
              <w:rPr>
                <w:b/>
                <w:i/>
                <w:sz w:val="24"/>
                <w:szCs w:val="24"/>
              </w:rPr>
              <w:t xml:space="preserve"> полугодие 2018</w:t>
            </w:r>
          </w:p>
        </w:tc>
        <w:tc>
          <w:tcPr>
            <w:tcW w:w="2410" w:type="dxa"/>
          </w:tcPr>
          <w:p w:rsidR="00E33863" w:rsidRPr="00BD6D45" w:rsidRDefault="00E33863" w:rsidP="00E33863">
            <w:pPr>
              <w:widowControl w:val="0"/>
              <w:jc w:val="center"/>
              <w:rPr>
                <w:b/>
                <w:i/>
                <w:sz w:val="24"/>
                <w:szCs w:val="24"/>
              </w:rPr>
            </w:pPr>
            <w:r w:rsidRPr="00BD6D45">
              <w:rPr>
                <w:b/>
                <w:i/>
                <w:sz w:val="24"/>
                <w:szCs w:val="24"/>
                <w:lang w:val="en-US"/>
              </w:rPr>
              <w:t>I</w:t>
            </w:r>
            <w:r w:rsidRPr="00BD6D45">
              <w:rPr>
                <w:b/>
                <w:i/>
                <w:sz w:val="24"/>
                <w:szCs w:val="24"/>
              </w:rPr>
              <w:t xml:space="preserve"> полугодие 2019</w:t>
            </w:r>
          </w:p>
        </w:tc>
        <w:tc>
          <w:tcPr>
            <w:tcW w:w="2120" w:type="dxa"/>
          </w:tcPr>
          <w:p w:rsidR="00E33863" w:rsidRPr="00BD6D45" w:rsidRDefault="00E33863" w:rsidP="00E33863">
            <w:pPr>
              <w:widowControl w:val="0"/>
              <w:jc w:val="center"/>
              <w:rPr>
                <w:b/>
                <w:i/>
                <w:sz w:val="24"/>
                <w:szCs w:val="24"/>
              </w:rPr>
            </w:pPr>
            <w:r w:rsidRPr="00BD6D45">
              <w:rPr>
                <w:b/>
                <w:i/>
                <w:sz w:val="24"/>
                <w:szCs w:val="24"/>
                <w:lang w:val="en-US"/>
              </w:rPr>
              <w:t>I</w:t>
            </w:r>
            <w:r w:rsidRPr="00BD6D45">
              <w:rPr>
                <w:b/>
                <w:i/>
                <w:sz w:val="24"/>
                <w:szCs w:val="24"/>
              </w:rPr>
              <w:t xml:space="preserve"> полугодие 2020</w:t>
            </w:r>
          </w:p>
        </w:tc>
      </w:tr>
      <w:tr w:rsidR="00E33863" w:rsidRPr="00E33863" w:rsidTr="00BD6D45">
        <w:tc>
          <w:tcPr>
            <w:tcW w:w="2830" w:type="dxa"/>
          </w:tcPr>
          <w:p w:rsidR="00E33863" w:rsidRPr="00BD6D45" w:rsidRDefault="00E33863" w:rsidP="00E33863">
            <w:pPr>
              <w:pStyle w:val="a9"/>
              <w:ind w:firstLine="0"/>
              <w:jc w:val="left"/>
              <w:rPr>
                <w:b/>
                <w:szCs w:val="24"/>
              </w:rPr>
            </w:pPr>
            <w:r w:rsidRPr="00BD6D45">
              <w:rPr>
                <w:b/>
                <w:szCs w:val="24"/>
              </w:rPr>
              <w:t>Возбуждено дел</w:t>
            </w:r>
          </w:p>
        </w:tc>
        <w:tc>
          <w:tcPr>
            <w:tcW w:w="2268" w:type="dxa"/>
          </w:tcPr>
          <w:p w:rsidR="00E33863" w:rsidRPr="00BD6D45" w:rsidRDefault="005D3EE4" w:rsidP="00E33863">
            <w:pPr>
              <w:pStyle w:val="a9"/>
              <w:ind w:firstLine="0"/>
              <w:jc w:val="center"/>
              <w:rPr>
                <w:b/>
                <w:szCs w:val="24"/>
              </w:rPr>
            </w:pPr>
            <w:r w:rsidRPr="00BD6D45">
              <w:rPr>
                <w:b/>
                <w:szCs w:val="24"/>
              </w:rPr>
              <w:t>77</w:t>
            </w:r>
          </w:p>
        </w:tc>
        <w:tc>
          <w:tcPr>
            <w:tcW w:w="2410" w:type="dxa"/>
          </w:tcPr>
          <w:p w:rsidR="00E33863" w:rsidRPr="00BD6D45" w:rsidRDefault="00220C3B" w:rsidP="00E33863">
            <w:pPr>
              <w:pStyle w:val="a9"/>
              <w:ind w:firstLine="0"/>
              <w:jc w:val="center"/>
              <w:rPr>
                <w:b/>
                <w:szCs w:val="24"/>
              </w:rPr>
            </w:pPr>
            <w:r>
              <w:rPr>
                <w:b/>
                <w:szCs w:val="24"/>
              </w:rPr>
              <w:t>80</w:t>
            </w:r>
          </w:p>
        </w:tc>
        <w:tc>
          <w:tcPr>
            <w:tcW w:w="2120" w:type="dxa"/>
          </w:tcPr>
          <w:p w:rsidR="00E33863" w:rsidRPr="00BD6D45" w:rsidRDefault="002A33C4" w:rsidP="00E33863">
            <w:pPr>
              <w:pStyle w:val="a9"/>
              <w:ind w:firstLine="0"/>
              <w:jc w:val="center"/>
              <w:rPr>
                <w:b/>
                <w:szCs w:val="24"/>
              </w:rPr>
            </w:pPr>
            <w:r>
              <w:rPr>
                <w:b/>
                <w:szCs w:val="24"/>
              </w:rPr>
              <w:t>73</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9.15</w:t>
            </w:r>
          </w:p>
        </w:tc>
        <w:tc>
          <w:tcPr>
            <w:tcW w:w="2268" w:type="dxa"/>
            <w:vAlign w:val="center"/>
          </w:tcPr>
          <w:p w:rsidR="00BD6D45" w:rsidRDefault="00BD6D45" w:rsidP="00BD6D45">
            <w:pPr>
              <w:pStyle w:val="a9"/>
              <w:ind w:firstLine="0"/>
              <w:jc w:val="center"/>
              <w:rPr>
                <w:sz w:val="24"/>
                <w:szCs w:val="24"/>
              </w:rPr>
            </w:pPr>
            <w:r>
              <w:rPr>
                <w:sz w:val="24"/>
                <w:szCs w:val="24"/>
              </w:rPr>
              <w:t>11</w:t>
            </w:r>
          </w:p>
        </w:tc>
        <w:tc>
          <w:tcPr>
            <w:tcW w:w="2410" w:type="dxa"/>
            <w:vAlign w:val="center"/>
          </w:tcPr>
          <w:p w:rsidR="00BD6D45" w:rsidRDefault="00BD6D45" w:rsidP="00BD6D45">
            <w:pPr>
              <w:pStyle w:val="a9"/>
              <w:ind w:firstLine="0"/>
              <w:jc w:val="center"/>
              <w:rPr>
                <w:sz w:val="24"/>
                <w:szCs w:val="24"/>
              </w:rPr>
            </w:pPr>
            <w:r>
              <w:rPr>
                <w:sz w:val="24"/>
                <w:szCs w:val="24"/>
              </w:rPr>
              <w:t>0</w:t>
            </w:r>
          </w:p>
        </w:tc>
        <w:tc>
          <w:tcPr>
            <w:tcW w:w="2120" w:type="dxa"/>
            <w:vAlign w:val="center"/>
          </w:tcPr>
          <w:p w:rsidR="00BD6D45" w:rsidRDefault="00BD6D45" w:rsidP="00BD6D45">
            <w:pPr>
              <w:pStyle w:val="a9"/>
              <w:ind w:firstLine="0"/>
              <w:jc w:val="center"/>
              <w:rPr>
                <w:sz w:val="24"/>
                <w:szCs w:val="24"/>
              </w:rPr>
            </w:pPr>
            <w:r>
              <w:rPr>
                <w:sz w:val="24"/>
                <w:szCs w:val="24"/>
              </w:rPr>
              <w:t>0</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9.16</w:t>
            </w:r>
          </w:p>
        </w:tc>
        <w:tc>
          <w:tcPr>
            <w:tcW w:w="2268" w:type="dxa"/>
            <w:vAlign w:val="center"/>
          </w:tcPr>
          <w:p w:rsidR="00BD6D45" w:rsidRDefault="00BD6D45" w:rsidP="00BD6D45">
            <w:pPr>
              <w:pStyle w:val="a9"/>
              <w:ind w:firstLine="0"/>
              <w:jc w:val="center"/>
              <w:rPr>
                <w:sz w:val="24"/>
                <w:szCs w:val="24"/>
              </w:rPr>
            </w:pPr>
            <w:r>
              <w:rPr>
                <w:sz w:val="24"/>
                <w:szCs w:val="24"/>
              </w:rPr>
              <w:t>9</w:t>
            </w:r>
          </w:p>
        </w:tc>
        <w:tc>
          <w:tcPr>
            <w:tcW w:w="2410" w:type="dxa"/>
            <w:vAlign w:val="center"/>
          </w:tcPr>
          <w:p w:rsidR="00BD6D45" w:rsidRDefault="00BD6D45" w:rsidP="00BD6D45">
            <w:pPr>
              <w:pStyle w:val="a9"/>
              <w:ind w:firstLine="0"/>
              <w:jc w:val="center"/>
              <w:rPr>
                <w:sz w:val="24"/>
                <w:szCs w:val="24"/>
              </w:rPr>
            </w:pPr>
            <w:r>
              <w:rPr>
                <w:sz w:val="24"/>
                <w:szCs w:val="24"/>
              </w:rPr>
              <w:t>3</w:t>
            </w:r>
          </w:p>
        </w:tc>
        <w:tc>
          <w:tcPr>
            <w:tcW w:w="2120" w:type="dxa"/>
            <w:vAlign w:val="center"/>
          </w:tcPr>
          <w:p w:rsidR="00BD6D45" w:rsidRDefault="00BD6D45" w:rsidP="00BD6D45">
            <w:pPr>
              <w:pStyle w:val="a9"/>
              <w:ind w:firstLine="0"/>
              <w:jc w:val="center"/>
              <w:rPr>
                <w:sz w:val="24"/>
                <w:szCs w:val="24"/>
              </w:rPr>
            </w:pPr>
            <w:r>
              <w:rPr>
                <w:sz w:val="24"/>
                <w:szCs w:val="24"/>
              </w:rPr>
              <w:t>3</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9.21</w:t>
            </w:r>
          </w:p>
        </w:tc>
        <w:tc>
          <w:tcPr>
            <w:tcW w:w="2268" w:type="dxa"/>
            <w:vAlign w:val="center"/>
          </w:tcPr>
          <w:p w:rsidR="00BD6D45" w:rsidRDefault="00BD6D45" w:rsidP="00BD6D45">
            <w:pPr>
              <w:pStyle w:val="a9"/>
              <w:ind w:firstLine="0"/>
              <w:jc w:val="center"/>
              <w:rPr>
                <w:sz w:val="24"/>
                <w:szCs w:val="24"/>
              </w:rPr>
            </w:pPr>
            <w:r>
              <w:rPr>
                <w:sz w:val="24"/>
                <w:szCs w:val="24"/>
              </w:rPr>
              <w:t>35</w:t>
            </w:r>
          </w:p>
        </w:tc>
        <w:tc>
          <w:tcPr>
            <w:tcW w:w="2410" w:type="dxa"/>
            <w:vAlign w:val="center"/>
          </w:tcPr>
          <w:p w:rsidR="00BD6D45" w:rsidRDefault="00BD6D45" w:rsidP="00BD6D45">
            <w:pPr>
              <w:pStyle w:val="a9"/>
              <w:ind w:firstLine="0"/>
              <w:jc w:val="center"/>
              <w:rPr>
                <w:sz w:val="24"/>
                <w:szCs w:val="24"/>
              </w:rPr>
            </w:pPr>
            <w:r>
              <w:rPr>
                <w:sz w:val="24"/>
                <w:szCs w:val="24"/>
              </w:rPr>
              <w:t>61</w:t>
            </w:r>
          </w:p>
        </w:tc>
        <w:tc>
          <w:tcPr>
            <w:tcW w:w="2120" w:type="dxa"/>
            <w:vAlign w:val="center"/>
          </w:tcPr>
          <w:p w:rsidR="00BD6D45" w:rsidRDefault="00BD6D45" w:rsidP="00BD6D45">
            <w:pPr>
              <w:pStyle w:val="a9"/>
              <w:ind w:firstLine="0"/>
              <w:jc w:val="center"/>
              <w:rPr>
                <w:sz w:val="24"/>
                <w:szCs w:val="24"/>
              </w:rPr>
            </w:pPr>
            <w:r>
              <w:rPr>
                <w:sz w:val="24"/>
                <w:szCs w:val="24"/>
              </w:rPr>
              <w:t>63</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14.31</w:t>
            </w:r>
          </w:p>
        </w:tc>
        <w:tc>
          <w:tcPr>
            <w:tcW w:w="2268" w:type="dxa"/>
            <w:vAlign w:val="center"/>
          </w:tcPr>
          <w:p w:rsidR="00BD6D45" w:rsidRDefault="00BD6D45" w:rsidP="00BD6D45">
            <w:pPr>
              <w:pStyle w:val="a9"/>
              <w:ind w:firstLine="0"/>
              <w:jc w:val="center"/>
              <w:rPr>
                <w:sz w:val="24"/>
                <w:szCs w:val="24"/>
              </w:rPr>
            </w:pPr>
            <w:r>
              <w:rPr>
                <w:sz w:val="24"/>
                <w:szCs w:val="24"/>
              </w:rPr>
              <w:t>18</w:t>
            </w:r>
          </w:p>
        </w:tc>
        <w:tc>
          <w:tcPr>
            <w:tcW w:w="2410" w:type="dxa"/>
            <w:vAlign w:val="center"/>
          </w:tcPr>
          <w:p w:rsidR="00BD6D45" w:rsidRDefault="00BD6D45" w:rsidP="00BD6D45">
            <w:pPr>
              <w:pStyle w:val="a9"/>
              <w:ind w:firstLine="0"/>
              <w:jc w:val="center"/>
              <w:rPr>
                <w:sz w:val="24"/>
                <w:szCs w:val="24"/>
              </w:rPr>
            </w:pPr>
            <w:r>
              <w:rPr>
                <w:sz w:val="24"/>
                <w:szCs w:val="24"/>
              </w:rPr>
              <w:t>15</w:t>
            </w:r>
          </w:p>
        </w:tc>
        <w:tc>
          <w:tcPr>
            <w:tcW w:w="2120" w:type="dxa"/>
            <w:vAlign w:val="center"/>
          </w:tcPr>
          <w:p w:rsidR="00BD6D45" w:rsidRDefault="00BD6D45" w:rsidP="00BD6D45">
            <w:pPr>
              <w:pStyle w:val="a9"/>
              <w:ind w:firstLine="0"/>
              <w:jc w:val="center"/>
              <w:rPr>
                <w:sz w:val="24"/>
                <w:szCs w:val="24"/>
              </w:rPr>
            </w:pPr>
            <w:r>
              <w:rPr>
                <w:sz w:val="24"/>
                <w:szCs w:val="24"/>
              </w:rPr>
              <w:t>6</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19.5</w:t>
            </w:r>
          </w:p>
        </w:tc>
        <w:tc>
          <w:tcPr>
            <w:tcW w:w="2268" w:type="dxa"/>
            <w:vAlign w:val="center"/>
          </w:tcPr>
          <w:p w:rsidR="00BD6D45" w:rsidRDefault="00BD6D45" w:rsidP="00BD6D45">
            <w:pPr>
              <w:pStyle w:val="a9"/>
              <w:ind w:firstLine="0"/>
              <w:jc w:val="center"/>
              <w:rPr>
                <w:sz w:val="24"/>
                <w:szCs w:val="24"/>
              </w:rPr>
            </w:pPr>
            <w:r>
              <w:rPr>
                <w:sz w:val="24"/>
                <w:szCs w:val="24"/>
              </w:rPr>
              <w:t>1</w:t>
            </w:r>
          </w:p>
        </w:tc>
        <w:tc>
          <w:tcPr>
            <w:tcW w:w="2410" w:type="dxa"/>
            <w:vAlign w:val="center"/>
          </w:tcPr>
          <w:p w:rsidR="00BD6D45" w:rsidRDefault="00220C3B" w:rsidP="00BD6D45">
            <w:pPr>
              <w:pStyle w:val="a9"/>
              <w:ind w:firstLine="0"/>
              <w:jc w:val="center"/>
              <w:rPr>
                <w:sz w:val="24"/>
                <w:szCs w:val="24"/>
              </w:rPr>
            </w:pPr>
            <w:r>
              <w:rPr>
                <w:sz w:val="24"/>
                <w:szCs w:val="24"/>
              </w:rPr>
              <w:t>0</w:t>
            </w:r>
          </w:p>
        </w:tc>
        <w:tc>
          <w:tcPr>
            <w:tcW w:w="2120" w:type="dxa"/>
            <w:vAlign w:val="center"/>
          </w:tcPr>
          <w:p w:rsidR="00BD6D45" w:rsidRDefault="002A33C4" w:rsidP="00BD6D45">
            <w:pPr>
              <w:pStyle w:val="a9"/>
              <w:ind w:firstLine="0"/>
              <w:jc w:val="center"/>
              <w:rPr>
                <w:sz w:val="24"/>
                <w:szCs w:val="24"/>
              </w:rPr>
            </w:pPr>
            <w:r>
              <w:rPr>
                <w:sz w:val="24"/>
                <w:szCs w:val="24"/>
              </w:rPr>
              <w:t>0</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19.8</w:t>
            </w:r>
          </w:p>
        </w:tc>
        <w:tc>
          <w:tcPr>
            <w:tcW w:w="2268" w:type="dxa"/>
            <w:vAlign w:val="center"/>
          </w:tcPr>
          <w:p w:rsidR="00BD6D45" w:rsidRDefault="00BD6D45" w:rsidP="00BD6D45">
            <w:pPr>
              <w:pStyle w:val="a9"/>
              <w:ind w:firstLine="0"/>
              <w:jc w:val="center"/>
              <w:rPr>
                <w:sz w:val="24"/>
                <w:szCs w:val="24"/>
              </w:rPr>
            </w:pPr>
            <w:r>
              <w:rPr>
                <w:sz w:val="24"/>
                <w:szCs w:val="24"/>
              </w:rPr>
              <w:t>1</w:t>
            </w:r>
          </w:p>
        </w:tc>
        <w:tc>
          <w:tcPr>
            <w:tcW w:w="2410" w:type="dxa"/>
            <w:vAlign w:val="center"/>
          </w:tcPr>
          <w:p w:rsidR="00BD6D45" w:rsidRDefault="00220C3B" w:rsidP="00BD6D45">
            <w:pPr>
              <w:pStyle w:val="a9"/>
              <w:ind w:firstLine="0"/>
              <w:jc w:val="center"/>
              <w:rPr>
                <w:sz w:val="24"/>
                <w:szCs w:val="24"/>
              </w:rPr>
            </w:pPr>
            <w:r>
              <w:rPr>
                <w:sz w:val="24"/>
                <w:szCs w:val="24"/>
              </w:rPr>
              <w:t>0</w:t>
            </w:r>
          </w:p>
        </w:tc>
        <w:tc>
          <w:tcPr>
            <w:tcW w:w="2120" w:type="dxa"/>
            <w:vAlign w:val="center"/>
          </w:tcPr>
          <w:p w:rsidR="00BD6D45" w:rsidRDefault="002A33C4" w:rsidP="00BD6D45">
            <w:pPr>
              <w:pStyle w:val="a9"/>
              <w:ind w:firstLine="0"/>
              <w:jc w:val="center"/>
              <w:rPr>
                <w:sz w:val="24"/>
                <w:szCs w:val="24"/>
              </w:rPr>
            </w:pPr>
            <w:r>
              <w:rPr>
                <w:sz w:val="24"/>
                <w:szCs w:val="24"/>
              </w:rPr>
              <w:t>1</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 xml:space="preserve">ст. 20.25 </w:t>
            </w:r>
          </w:p>
        </w:tc>
        <w:tc>
          <w:tcPr>
            <w:tcW w:w="2268" w:type="dxa"/>
            <w:vAlign w:val="center"/>
          </w:tcPr>
          <w:p w:rsidR="00BD6D45" w:rsidRDefault="00BD6D45" w:rsidP="00BD6D45">
            <w:pPr>
              <w:pStyle w:val="a9"/>
              <w:ind w:firstLine="0"/>
              <w:jc w:val="center"/>
              <w:rPr>
                <w:sz w:val="24"/>
                <w:szCs w:val="24"/>
              </w:rPr>
            </w:pPr>
            <w:r>
              <w:rPr>
                <w:sz w:val="24"/>
                <w:szCs w:val="24"/>
              </w:rPr>
              <w:t>2</w:t>
            </w:r>
          </w:p>
        </w:tc>
        <w:tc>
          <w:tcPr>
            <w:tcW w:w="2410" w:type="dxa"/>
            <w:vAlign w:val="center"/>
          </w:tcPr>
          <w:p w:rsidR="00BD6D45" w:rsidRDefault="00220C3B" w:rsidP="00BD6D45">
            <w:pPr>
              <w:pStyle w:val="a9"/>
              <w:ind w:firstLine="0"/>
              <w:jc w:val="center"/>
              <w:rPr>
                <w:sz w:val="24"/>
                <w:szCs w:val="24"/>
              </w:rPr>
            </w:pPr>
            <w:r>
              <w:rPr>
                <w:sz w:val="24"/>
                <w:szCs w:val="24"/>
              </w:rPr>
              <w:t>1</w:t>
            </w:r>
          </w:p>
        </w:tc>
        <w:tc>
          <w:tcPr>
            <w:tcW w:w="2120" w:type="dxa"/>
            <w:vAlign w:val="center"/>
          </w:tcPr>
          <w:p w:rsidR="00BD6D45" w:rsidRDefault="002A33C4" w:rsidP="00BD6D45">
            <w:pPr>
              <w:pStyle w:val="a9"/>
              <w:ind w:firstLine="0"/>
              <w:jc w:val="center"/>
              <w:rPr>
                <w:sz w:val="24"/>
                <w:szCs w:val="24"/>
              </w:rPr>
            </w:pPr>
            <w:r>
              <w:rPr>
                <w:sz w:val="24"/>
                <w:szCs w:val="24"/>
              </w:rPr>
              <w:t>0</w:t>
            </w:r>
          </w:p>
        </w:tc>
      </w:tr>
      <w:tr w:rsidR="00BD6D45" w:rsidRPr="00E33863" w:rsidTr="00BD6D45">
        <w:tc>
          <w:tcPr>
            <w:tcW w:w="2830" w:type="dxa"/>
          </w:tcPr>
          <w:p w:rsidR="00BD6D45" w:rsidRPr="00BD6D45" w:rsidRDefault="00BD6D45" w:rsidP="00BD6D45">
            <w:pPr>
              <w:pStyle w:val="a9"/>
              <w:ind w:firstLine="0"/>
              <w:jc w:val="left"/>
              <w:rPr>
                <w:b/>
                <w:szCs w:val="24"/>
              </w:rPr>
            </w:pPr>
            <w:r w:rsidRPr="00BD6D45">
              <w:rPr>
                <w:b/>
                <w:szCs w:val="24"/>
              </w:rPr>
              <w:t>Прекращено дел</w:t>
            </w:r>
          </w:p>
        </w:tc>
        <w:tc>
          <w:tcPr>
            <w:tcW w:w="2268" w:type="dxa"/>
          </w:tcPr>
          <w:p w:rsidR="00BD6D45" w:rsidRPr="00BD6D45" w:rsidRDefault="00BD6D45" w:rsidP="00BD6D45">
            <w:pPr>
              <w:pStyle w:val="a9"/>
              <w:ind w:firstLine="0"/>
              <w:jc w:val="center"/>
              <w:rPr>
                <w:b/>
                <w:szCs w:val="24"/>
              </w:rPr>
            </w:pPr>
            <w:r w:rsidRPr="00BD6D45">
              <w:rPr>
                <w:b/>
                <w:szCs w:val="24"/>
              </w:rPr>
              <w:t>11</w:t>
            </w:r>
          </w:p>
        </w:tc>
        <w:tc>
          <w:tcPr>
            <w:tcW w:w="2410" w:type="dxa"/>
          </w:tcPr>
          <w:p w:rsidR="00BD6D45" w:rsidRPr="00BD6D45" w:rsidRDefault="00BD6D45" w:rsidP="00BD6D45">
            <w:pPr>
              <w:pStyle w:val="a9"/>
              <w:ind w:firstLine="0"/>
              <w:jc w:val="center"/>
              <w:rPr>
                <w:b/>
                <w:szCs w:val="24"/>
              </w:rPr>
            </w:pPr>
            <w:r w:rsidRPr="00BD6D45">
              <w:rPr>
                <w:b/>
                <w:szCs w:val="24"/>
              </w:rPr>
              <w:t>2</w:t>
            </w:r>
            <w:r w:rsidR="00220C3B">
              <w:rPr>
                <w:b/>
                <w:szCs w:val="24"/>
              </w:rPr>
              <w:t>5</w:t>
            </w:r>
          </w:p>
        </w:tc>
        <w:tc>
          <w:tcPr>
            <w:tcW w:w="2120" w:type="dxa"/>
          </w:tcPr>
          <w:p w:rsidR="00BD6D45" w:rsidRPr="00BD6D45" w:rsidRDefault="00BD6D45" w:rsidP="00BD6D45">
            <w:pPr>
              <w:pStyle w:val="a9"/>
              <w:ind w:firstLine="0"/>
              <w:jc w:val="center"/>
              <w:rPr>
                <w:b/>
                <w:szCs w:val="24"/>
              </w:rPr>
            </w:pPr>
            <w:r w:rsidRPr="00BD6D45">
              <w:rPr>
                <w:b/>
                <w:szCs w:val="24"/>
              </w:rPr>
              <w:t>3</w:t>
            </w:r>
            <w:r w:rsidR="009805D3">
              <w:rPr>
                <w:b/>
                <w:szCs w:val="24"/>
              </w:rPr>
              <w:t>2</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9.15</w:t>
            </w:r>
          </w:p>
        </w:tc>
        <w:tc>
          <w:tcPr>
            <w:tcW w:w="2268" w:type="dxa"/>
            <w:vAlign w:val="center"/>
          </w:tcPr>
          <w:p w:rsidR="00BD6D45" w:rsidRDefault="00E33A18" w:rsidP="00BD6D45">
            <w:pPr>
              <w:pStyle w:val="a9"/>
              <w:ind w:firstLine="0"/>
              <w:jc w:val="center"/>
              <w:rPr>
                <w:sz w:val="24"/>
                <w:szCs w:val="24"/>
              </w:rPr>
            </w:pPr>
            <w:r>
              <w:rPr>
                <w:sz w:val="24"/>
                <w:szCs w:val="24"/>
              </w:rPr>
              <w:t>2</w:t>
            </w:r>
          </w:p>
        </w:tc>
        <w:tc>
          <w:tcPr>
            <w:tcW w:w="2410" w:type="dxa"/>
            <w:vAlign w:val="center"/>
          </w:tcPr>
          <w:p w:rsidR="00BD6D45" w:rsidRDefault="00F117F7" w:rsidP="00BD6D45">
            <w:pPr>
              <w:pStyle w:val="a9"/>
              <w:ind w:firstLine="0"/>
              <w:jc w:val="center"/>
              <w:rPr>
                <w:sz w:val="24"/>
                <w:szCs w:val="24"/>
              </w:rPr>
            </w:pPr>
            <w:r>
              <w:rPr>
                <w:sz w:val="24"/>
                <w:szCs w:val="24"/>
              </w:rPr>
              <w:t>0</w:t>
            </w:r>
          </w:p>
        </w:tc>
        <w:tc>
          <w:tcPr>
            <w:tcW w:w="2120" w:type="dxa"/>
            <w:vAlign w:val="center"/>
          </w:tcPr>
          <w:p w:rsidR="00BD6D45" w:rsidRDefault="009805D3" w:rsidP="00BD6D45">
            <w:pPr>
              <w:pStyle w:val="a9"/>
              <w:ind w:firstLine="0"/>
              <w:jc w:val="center"/>
              <w:rPr>
                <w:sz w:val="24"/>
                <w:szCs w:val="24"/>
              </w:rPr>
            </w:pPr>
            <w:r>
              <w:rPr>
                <w:sz w:val="24"/>
                <w:szCs w:val="24"/>
              </w:rPr>
              <w:t>0</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9.16</w:t>
            </w:r>
          </w:p>
        </w:tc>
        <w:tc>
          <w:tcPr>
            <w:tcW w:w="2268" w:type="dxa"/>
            <w:vAlign w:val="center"/>
          </w:tcPr>
          <w:p w:rsidR="00BD6D45" w:rsidRDefault="00E33A18" w:rsidP="00BD6D45">
            <w:pPr>
              <w:pStyle w:val="a9"/>
              <w:ind w:firstLine="0"/>
              <w:jc w:val="center"/>
              <w:rPr>
                <w:sz w:val="24"/>
                <w:szCs w:val="24"/>
              </w:rPr>
            </w:pPr>
            <w:r>
              <w:rPr>
                <w:sz w:val="24"/>
                <w:szCs w:val="24"/>
              </w:rPr>
              <w:t>1</w:t>
            </w:r>
          </w:p>
        </w:tc>
        <w:tc>
          <w:tcPr>
            <w:tcW w:w="2410" w:type="dxa"/>
            <w:vAlign w:val="center"/>
          </w:tcPr>
          <w:p w:rsidR="00BD6D45" w:rsidRDefault="00F117F7" w:rsidP="00BD6D45">
            <w:pPr>
              <w:pStyle w:val="a9"/>
              <w:ind w:firstLine="0"/>
              <w:jc w:val="center"/>
              <w:rPr>
                <w:sz w:val="24"/>
                <w:szCs w:val="24"/>
              </w:rPr>
            </w:pPr>
            <w:r>
              <w:rPr>
                <w:sz w:val="24"/>
                <w:szCs w:val="24"/>
              </w:rPr>
              <w:t>3</w:t>
            </w:r>
          </w:p>
        </w:tc>
        <w:tc>
          <w:tcPr>
            <w:tcW w:w="2120" w:type="dxa"/>
            <w:vAlign w:val="center"/>
          </w:tcPr>
          <w:p w:rsidR="00BD6D45" w:rsidRDefault="009805D3" w:rsidP="00BD6D45">
            <w:pPr>
              <w:pStyle w:val="a9"/>
              <w:ind w:firstLine="0"/>
              <w:jc w:val="center"/>
              <w:rPr>
                <w:sz w:val="24"/>
                <w:szCs w:val="24"/>
              </w:rPr>
            </w:pPr>
            <w:r>
              <w:rPr>
                <w:sz w:val="24"/>
                <w:szCs w:val="24"/>
              </w:rPr>
              <w:t>0</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9.21</w:t>
            </w:r>
          </w:p>
        </w:tc>
        <w:tc>
          <w:tcPr>
            <w:tcW w:w="2268" w:type="dxa"/>
            <w:vAlign w:val="center"/>
          </w:tcPr>
          <w:p w:rsidR="00BD6D45" w:rsidRDefault="00E33A18" w:rsidP="00BD6D45">
            <w:pPr>
              <w:pStyle w:val="a9"/>
              <w:ind w:firstLine="0"/>
              <w:jc w:val="center"/>
              <w:rPr>
                <w:sz w:val="24"/>
                <w:szCs w:val="24"/>
              </w:rPr>
            </w:pPr>
            <w:r>
              <w:rPr>
                <w:sz w:val="24"/>
                <w:szCs w:val="24"/>
              </w:rPr>
              <w:t>6</w:t>
            </w:r>
          </w:p>
        </w:tc>
        <w:tc>
          <w:tcPr>
            <w:tcW w:w="2410" w:type="dxa"/>
            <w:vAlign w:val="center"/>
          </w:tcPr>
          <w:p w:rsidR="00BD6D45" w:rsidRDefault="00F117F7" w:rsidP="00BD6D45">
            <w:pPr>
              <w:pStyle w:val="a9"/>
              <w:ind w:firstLine="0"/>
              <w:jc w:val="center"/>
              <w:rPr>
                <w:sz w:val="24"/>
                <w:szCs w:val="24"/>
              </w:rPr>
            </w:pPr>
            <w:r>
              <w:rPr>
                <w:sz w:val="24"/>
                <w:szCs w:val="24"/>
              </w:rPr>
              <w:t>19</w:t>
            </w:r>
          </w:p>
        </w:tc>
        <w:tc>
          <w:tcPr>
            <w:tcW w:w="2120" w:type="dxa"/>
            <w:vAlign w:val="center"/>
          </w:tcPr>
          <w:p w:rsidR="00BD6D45" w:rsidRDefault="009805D3" w:rsidP="00BD6D45">
            <w:pPr>
              <w:pStyle w:val="a9"/>
              <w:ind w:firstLine="0"/>
              <w:jc w:val="center"/>
              <w:rPr>
                <w:sz w:val="24"/>
                <w:szCs w:val="24"/>
              </w:rPr>
            </w:pPr>
            <w:r>
              <w:rPr>
                <w:sz w:val="24"/>
                <w:szCs w:val="24"/>
              </w:rPr>
              <w:t>31</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14.31</w:t>
            </w:r>
          </w:p>
        </w:tc>
        <w:tc>
          <w:tcPr>
            <w:tcW w:w="2268" w:type="dxa"/>
            <w:vAlign w:val="center"/>
          </w:tcPr>
          <w:p w:rsidR="00BD6D45" w:rsidRDefault="00E33A18" w:rsidP="00BD6D45">
            <w:pPr>
              <w:pStyle w:val="a9"/>
              <w:ind w:firstLine="0"/>
              <w:jc w:val="center"/>
              <w:rPr>
                <w:sz w:val="24"/>
                <w:szCs w:val="24"/>
              </w:rPr>
            </w:pPr>
            <w:r>
              <w:rPr>
                <w:sz w:val="24"/>
                <w:szCs w:val="24"/>
              </w:rPr>
              <w:t>2</w:t>
            </w:r>
          </w:p>
        </w:tc>
        <w:tc>
          <w:tcPr>
            <w:tcW w:w="2410" w:type="dxa"/>
            <w:vAlign w:val="center"/>
          </w:tcPr>
          <w:p w:rsidR="00BD6D45" w:rsidRDefault="00F117F7" w:rsidP="00BD6D45">
            <w:pPr>
              <w:pStyle w:val="a9"/>
              <w:ind w:firstLine="0"/>
              <w:jc w:val="center"/>
              <w:rPr>
                <w:sz w:val="24"/>
                <w:szCs w:val="24"/>
              </w:rPr>
            </w:pPr>
            <w:r>
              <w:rPr>
                <w:sz w:val="24"/>
                <w:szCs w:val="24"/>
              </w:rPr>
              <w:t>3</w:t>
            </w:r>
          </w:p>
        </w:tc>
        <w:tc>
          <w:tcPr>
            <w:tcW w:w="2120" w:type="dxa"/>
            <w:vAlign w:val="center"/>
          </w:tcPr>
          <w:p w:rsidR="00BD6D45" w:rsidRDefault="009805D3" w:rsidP="00BD6D45">
            <w:pPr>
              <w:pStyle w:val="a9"/>
              <w:ind w:firstLine="0"/>
              <w:jc w:val="center"/>
              <w:rPr>
                <w:sz w:val="24"/>
                <w:szCs w:val="24"/>
              </w:rPr>
            </w:pPr>
            <w:r>
              <w:rPr>
                <w:sz w:val="24"/>
                <w:szCs w:val="24"/>
              </w:rPr>
              <w:t>1</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19.5</w:t>
            </w:r>
          </w:p>
        </w:tc>
        <w:tc>
          <w:tcPr>
            <w:tcW w:w="2268" w:type="dxa"/>
            <w:vAlign w:val="center"/>
          </w:tcPr>
          <w:p w:rsidR="00BD6D45" w:rsidRDefault="00E33A18" w:rsidP="00BD6D45">
            <w:pPr>
              <w:pStyle w:val="a9"/>
              <w:ind w:firstLine="0"/>
              <w:jc w:val="center"/>
              <w:rPr>
                <w:sz w:val="24"/>
                <w:szCs w:val="24"/>
              </w:rPr>
            </w:pPr>
            <w:r>
              <w:rPr>
                <w:sz w:val="24"/>
                <w:szCs w:val="24"/>
              </w:rPr>
              <w:t>0</w:t>
            </w:r>
          </w:p>
        </w:tc>
        <w:tc>
          <w:tcPr>
            <w:tcW w:w="2410" w:type="dxa"/>
            <w:vAlign w:val="center"/>
          </w:tcPr>
          <w:p w:rsidR="00BD6D45" w:rsidRDefault="00F117F7" w:rsidP="00BD6D45">
            <w:pPr>
              <w:pStyle w:val="a9"/>
              <w:ind w:firstLine="0"/>
              <w:jc w:val="center"/>
              <w:rPr>
                <w:sz w:val="24"/>
                <w:szCs w:val="24"/>
              </w:rPr>
            </w:pPr>
            <w:r>
              <w:rPr>
                <w:sz w:val="24"/>
                <w:szCs w:val="24"/>
              </w:rPr>
              <w:t>0</w:t>
            </w:r>
          </w:p>
        </w:tc>
        <w:tc>
          <w:tcPr>
            <w:tcW w:w="2120" w:type="dxa"/>
            <w:vAlign w:val="center"/>
          </w:tcPr>
          <w:p w:rsidR="00BD6D45" w:rsidRDefault="009805D3" w:rsidP="00BD6D45">
            <w:pPr>
              <w:pStyle w:val="a9"/>
              <w:ind w:firstLine="0"/>
              <w:jc w:val="center"/>
              <w:rPr>
                <w:sz w:val="24"/>
                <w:szCs w:val="24"/>
              </w:rPr>
            </w:pPr>
            <w:r>
              <w:rPr>
                <w:sz w:val="24"/>
                <w:szCs w:val="24"/>
              </w:rPr>
              <w:t>0</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19.8</w:t>
            </w:r>
          </w:p>
        </w:tc>
        <w:tc>
          <w:tcPr>
            <w:tcW w:w="2268" w:type="dxa"/>
            <w:vAlign w:val="center"/>
          </w:tcPr>
          <w:p w:rsidR="00BD6D45" w:rsidRDefault="00E33A18" w:rsidP="00BD6D45">
            <w:pPr>
              <w:pStyle w:val="a9"/>
              <w:ind w:firstLine="0"/>
              <w:jc w:val="center"/>
              <w:rPr>
                <w:sz w:val="24"/>
                <w:szCs w:val="24"/>
              </w:rPr>
            </w:pPr>
            <w:r>
              <w:rPr>
                <w:sz w:val="24"/>
                <w:szCs w:val="24"/>
              </w:rPr>
              <w:t>0</w:t>
            </w:r>
          </w:p>
        </w:tc>
        <w:tc>
          <w:tcPr>
            <w:tcW w:w="2410" w:type="dxa"/>
            <w:vAlign w:val="center"/>
          </w:tcPr>
          <w:p w:rsidR="00BD6D45" w:rsidRDefault="00F117F7" w:rsidP="00BD6D45">
            <w:pPr>
              <w:pStyle w:val="a9"/>
              <w:ind w:firstLine="0"/>
              <w:jc w:val="center"/>
              <w:rPr>
                <w:sz w:val="24"/>
                <w:szCs w:val="24"/>
              </w:rPr>
            </w:pPr>
            <w:r>
              <w:rPr>
                <w:sz w:val="24"/>
                <w:szCs w:val="24"/>
              </w:rPr>
              <w:t>0</w:t>
            </w:r>
          </w:p>
        </w:tc>
        <w:tc>
          <w:tcPr>
            <w:tcW w:w="2120" w:type="dxa"/>
            <w:vAlign w:val="center"/>
          </w:tcPr>
          <w:p w:rsidR="00BD6D45" w:rsidRDefault="009805D3" w:rsidP="00BD6D45">
            <w:pPr>
              <w:pStyle w:val="a9"/>
              <w:ind w:firstLine="0"/>
              <w:jc w:val="center"/>
              <w:rPr>
                <w:sz w:val="24"/>
                <w:szCs w:val="24"/>
              </w:rPr>
            </w:pPr>
            <w:r>
              <w:rPr>
                <w:sz w:val="24"/>
                <w:szCs w:val="24"/>
              </w:rPr>
              <w:t>0</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 xml:space="preserve">ст. 20.25 </w:t>
            </w:r>
          </w:p>
        </w:tc>
        <w:tc>
          <w:tcPr>
            <w:tcW w:w="2268" w:type="dxa"/>
            <w:vAlign w:val="center"/>
          </w:tcPr>
          <w:p w:rsidR="00BD6D45" w:rsidRDefault="00E33A18" w:rsidP="00BD6D45">
            <w:pPr>
              <w:pStyle w:val="a9"/>
              <w:ind w:firstLine="0"/>
              <w:jc w:val="center"/>
              <w:rPr>
                <w:sz w:val="24"/>
                <w:szCs w:val="24"/>
              </w:rPr>
            </w:pPr>
            <w:r>
              <w:rPr>
                <w:sz w:val="24"/>
                <w:szCs w:val="24"/>
              </w:rPr>
              <w:t>0</w:t>
            </w:r>
          </w:p>
        </w:tc>
        <w:tc>
          <w:tcPr>
            <w:tcW w:w="2410" w:type="dxa"/>
            <w:vAlign w:val="center"/>
          </w:tcPr>
          <w:p w:rsidR="00BD6D45" w:rsidRDefault="00F117F7" w:rsidP="00BD6D45">
            <w:pPr>
              <w:pStyle w:val="a9"/>
              <w:ind w:firstLine="0"/>
              <w:jc w:val="center"/>
              <w:rPr>
                <w:sz w:val="24"/>
                <w:szCs w:val="24"/>
              </w:rPr>
            </w:pPr>
            <w:r>
              <w:rPr>
                <w:sz w:val="24"/>
                <w:szCs w:val="24"/>
              </w:rPr>
              <w:t>0</w:t>
            </w:r>
          </w:p>
        </w:tc>
        <w:tc>
          <w:tcPr>
            <w:tcW w:w="2120" w:type="dxa"/>
            <w:vAlign w:val="center"/>
          </w:tcPr>
          <w:p w:rsidR="00BD6D45" w:rsidRDefault="009805D3" w:rsidP="00BD6D45">
            <w:pPr>
              <w:pStyle w:val="a9"/>
              <w:ind w:firstLine="0"/>
              <w:jc w:val="center"/>
              <w:rPr>
                <w:sz w:val="24"/>
                <w:szCs w:val="24"/>
              </w:rPr>
            </w:pPr>
            <w:r>
              <w:rPr>
                <w:sz w:val="24"/>
                <w:szCs w:val="24"/>
              </w:rPr>
              <w:t>0</w:t>
            </w:r>
          </w:p>
        </w:tc>
      </w:tr>
      <w:tr w:rsidR="00BD6D45" w:rsidRPr="00E33863" w:rsidTr="00BD6D45">
        <w:tc>
          <w:tcPr>
            <w:tcW w:w="2830" w:type="dxa"/>
          </w:tcPr>
          <w:p w:rsidR="00BD6D45" w:rsidRPr="00BD6D45" w:rsidRDefault="00BD6D45" w:rsidP="00BD6D45">
            <w:pPr>
              <w:pStyle w:val="a9"/>
              <w:ind w:firstLine="0"/>
              <w:jc w:val="left"/>
              <w:rPr>
                <w:b/>
                <w:szCs w:val="24"/>
              </w:rPr>
            </w:pPr>
            <w:r w:rsidRPr="00BD6D45">
              <w:rPr>
                <w:b/>
                <w:szCs w:val="24"/>
              </w:rPr>
              <w:t>Наложено штрафов</w:t>
            </w:r>
          </w:p>
        </w:tc>
        <w:tc>
          <w:tcPr>
            <w:tcW w:w="2268" w:type="dxa"/>
          </w:tcPr>
          <w:p w:rsidR="00BD6D45" w:rsidRPr="00BD6D45" w:rsidRDefault="00BD6D45" w:rsidP="00EB61EA">
            <w:pPr>
              <w:pStyle w:val="a9"/>
              <w:ind w:firstLine="0"/>
              <w:jc w:val="center"/>
              <w:rPr>
                <w:b/>
                <w:szCs w:val="24"/>
              </w:rPr>
            </w:pPr>
            <w:r w:rsidRPr="00BD6D45">
              <w:rPr>
                <w:b/>
                <w:szCs w:val="24"/>
              </w:rPr>
              <w:t>18</w:t>
            </w:r>
            <w:r w:rsidR="00EB61EA">
              <w:rPr>
                <w:b/>
                <w:szCs w:val="24"/>
                <w:lang w:val="en-US"/>
              </w:rPr>
              <w:t xml:space="preserve"> </w:t>
            </w:r>
            <w:r w:rsidRPr="00BD6D45">
              <w:rPr>
                <w:b/>
                <w:szCs w:val="24"/>
              </w:rPr>
              <w:t>336</w:t>
            </w:r>
            <w:r w:rsidR="00EB61EA">
              <w:rPr>
                <w:b/>
                <w:szCs w:val="24"/>
                <w:lang w:val="en-US"/>
              </w:rPr>
              <w:t xml:space="preserve"> </w:t>
            </w:r>
            <w:r w:rsidRPr="00BD6D45">
              <w:rPr>
                <w:b/>
                <w:szCs w:val="24"/>
              </w:rPr>
              <w:t>000 руб.</w:t>
            </w:r>
          </w:p>
        </w:tc>
        <w:tc>
          <w:tcPr>
            <w:tcW w:w="2410" w:type="dxa"/>
          </w:tcPr>
          <w:p w:rsidR="00BD6D45" w:rsidRPr="00BD6D45" w:rsidRDefault="00F117F7" w:rsidP="00BD6D45">
            <w:pPr>
              <w:pStyle w:val="a9"/>
              <w:ind w:firstLine="0"/>
              <w:jc w:val="center"/>
              <w:rPr>
                <w:b/>
                <w:szCs w:val="24"/>
              </w:rPr>
            </w:pPr>
            <w:r>
              <w:rPr>
                <w:b/>
                <w:szCs w:val="24"/>
              </w:rPr>
              <w:t>11</w:t>
            </w:r>
            <w:r w:rsidR="00BD6D45" w:rsidRPr="00BD6D45">
              <w:rPr>
                <w:b/>
                <w:szCs w:val="24"/>
              </w:rPr>
              <w:t> </w:t>
            </w:r>
            <w:r>
              <w:rPr>
                <w:b/>
                <w:szCs w:val="24"/>
              </w:rPr>
              <w:t>817</w:t>
            </w:r>
            <w:r w:rsidR="00BD6D45" w:rsidRPr="00BD6D45">
              <w:rPr>
                <w:b/>
                <w:szCs w:val="24"/>
              </w:rPr>
              <w:t> </w:t>
            </w:r>
            <w:r>
              <w:rPr>
                <w:b/>
                <w:szCs w:val="24"/>
              </w:rPr>
              <w:t>5</w:t>
            </w:r>
            <w:r w:rsidR="00BD6D45" w:rsidRPr="00BD6D45">
              <w:rPr>
                <w:b/>
                <w:szCs w:val="24"/>
              </w:rPr>
              <w:t>00 руб.</w:t>
            </w:r>
          </w:p>
        </w:tc>
        <w:tc>
          <w:tcPr>
            <w:tcW w:w="2120" w:type="dxa"/>
          </w:tcPr>
          <w:p w:rsidR="00BD6D45" w:rsidRPr="00BD6D45" w:rsidRDefault="00BD6D45" w:rsidP="00BD6D45">
            <w:pPr>
              <w:pStyle w:val="a9"/>
              <w:ind w:firstLine="0"/>
              <w:jc w:val="center"/>
              <w:rPr>
                <w:b/>
                <w:szCs w:val="24"/>
              </w:rPr>
            </w:pPr>
            <w:r w:rsidRPr="00BD6D45">
              <w:rPr>
                <w:b/>
                <w:szCs w:val="24"/>
              </w:rPr>
              <w:t>11 </w:t>
            </w:r>
            <w:r w:rsidR="00277FCC">
              <w:rPr>
                <w:b/>
                <w:szCs w:val="24"/>
              </w:rPr>
              <w:t>950</w:t>
            </w:r>
            <w:r w:rsidRPr="00BD6D45">
              <w:rPr>
                <w:b/>
                <w:szCs w:val="24"/>
              </w:rPr>
              <w:t> 000 руб.</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9.15</w:t>
            </w:r>
          </w:p>
        </w:tc>
        <w:tc>
          <w:tcPr>
            <w:tcW w:w="2268" w:type="dxa"/>
            <w:vAlign w:val="center"/>
          </w:tcPr>
          <w:p w:rsidR="00BD6D45" w:rsidRDefault="00A431C7" w:rsidP="00BD6D45">
            <w:pPr>
              <w:pStyle w:val="a9"/>
              <w:ind w:firstLine="0"/>
              <w:jc w:val="center"/>
              <w:rPr>
                <w:sz w:val="24"/>
                <w:szCs w:val="24"/>
              </w:rPr>
            </w:pPr>
            <w:r>
              <w:rPr>
                <w:sz w:val="24"/>
                <w:szCs w:val="24"/>
              </w:rPr>
              <w:t>1 800 000 руб.</w:t>
            </w:r>
          </w:p>
        </w:tc>
        <w:tc>
          <w:tcPr>
            <w:tcW w:w="2410" w:type="dxa"/>
            <w:vAlign w:val="center"/>
          </w:tcPr>
          <w:p w:rsidR="00BD6D45" w:rsidRDefault="00C934BC" w:rsidP="00BD6D45">
            <w:pPr>
              <w:pStyle w:val="a9"/>
              <w:ind w:firstLine="0"/>
              <w:jc w:val="center"/>
              <w:rPr>
                <w:sz w:val="24"/>
                <w:szCs w:val="24"/>
              </w:rPr>
            </w:pPr>
            <w:r>
              <w:rPr>
                <w:sz w:val="24"/>
                <w:szCs w:val="24"/>
              </w:rPr>
              <w:t>0 руб.</w:t>
            </w:r>
          </w:p>
        </w:tc>
        <w:tc>
          <w:tcPr>
            <w:tcW w:w="2120" w:type="dxa"/>
            <w:vAlign w:val="center"/>
          </w:tcPr>
          <w:p w:rsidR="00BD6D45" w:rsidRDefault="00640342" w:rsidP="00BD6D45">
            <w:pPr>
              <w:pStyle w:val="a9"/>
              <w:ind w:firstLine="0"/>
              <w:jc w:val="center"/>
              <w:rPr>
                <w:sz w:val="24"/>
                <w:szCs w:val="24"/>
              </w:rPr>
            </w:pPr>
            <w:r>
              <w:rPr>
                <w:sz w:val="24"/>
                <w:szCs w:val="24"/>
              </w:rPr>
              <w:t>0 руб.</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9.16</w:t>
            </w:r>
          </w:p>
        </w:tc>
        <w:tc>
          <w:tcPr>
            <w:tcW w:w="2268" w:type="dxa"/>
            <w:vAlign w:val="center"/>
          </w:tcPr>
          <w:p w:rsidR="00BD6D45" w:rsidRDefault="00A431C7" w:rsidP="00BD6D45">
            <w:pPr>
              <w:pStyle w:val="a9"/>
              <w:ind w:firstLine="0"/>
              <w:jc w:val="center"/>
              <w:rPr>
                <w:sz w:val="24"/>
                <w:szCs w:val="24"/>
              </w:rPr>
            </w:pPr>
            <w:r>
              <w:rPr>
                <w:sz w:val="24"/>
                <w:szCs w:val="24"/>
              </w:rPr>
              <w:t>350 000 руб.</w:t>
            </w:r>
          </w:p>
        </w:tc>
        <w:tc>
          <w:tcPr>
            <w:tcW w:w="2410" w:type="dxa"/>
            <w:vAlign w:val="center"/>
          </w:tcPr>
          <w:p w:rsidR="00BD6D45" w:rsidRDefault="00C934BC" w:rsidP="00BD6D45">
            <w:pPr>
              <w:pStyle w:val="a9"/>
              <w:ind w:firstLine="0"/>
              <w:jc w:val="center"/>
              <w:rPr>
                <w:sz w:val="24"/>
                <w:szCs w:val="24"/>
              </w:rPr>
            </w:pPr>
            <w:r>
              <w:rPr>
                <w:sz w:val="24"/>
                <w:szCs w:val="24"/>
              </w:rPr>
              <w:t>0 руб.</w:t>
            </w:r>
          </w:p>
        </w:tc>
        <w:tc>
          <w:tcPr>
            <w:tcW w:w="2120" w:type="dxa"/>
            <w:vAlign w:val="center"/>
          </w:tcPr>
          <w:p w:rsidR="00BD6D45" w:rsidRDefault="00640342" w:rsidP="00BD6D45">
            <w:pPr>
              <w:pStyle w:val="a9"/>
              <w:ind w:firstLine="0"/>
              <w:jc w:val="center"/>
              <w:rPr>
                <w:sz w:val="24"/>
                <w:szCs w:val="24"/>
              </w:rPr>
            </w:pPr>
            <w:r>
              <w:rPr>
                <w:sz w:val="24"/>
                <w:szCs w:val="24"/>
              </w:rPr>
              <w:t>120 000 руб.</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9.21</w:t>
            </w:r>
          </w:p>
        </w:tc>
        <w:tc>
          <w:tcPr>
            <w:tcW w:w="2268" w:type="dxa"/>
            <w:vAlign w:val="center"/>
          </w:tcPr>
          <w:p w:rsidR="00BD6D45" w:rsidRDefault="00A431C7" w:rsidP="00BD6D45">
            <w:pPr>
              <w:pStyle w:val="a9"/>
              <w:ind w:firstLine="0"/>
              <w:jc w:val="center"/>
              <w:rPr>
                <w:sz w:val="24"/>
                <w:szCs w:val="24"/>
              </w:rPr>
            </w:pPr>
            <w:r>
              <w:rPr>
                <w:sz w:val="24"/>
                <w:szCs w:val="24"/>
              </w:rPr>
              <w:t>11 750 000 руб.</w:t>
            </w:r>
          </w:p>
        </w:tc>
        <w:tc>
          <w:tcPr>
            <w:tcW w:w="2410" w:type="dxa"/>
            <w:vAlign w:val="center"/>
          </w:tcPr>
          <w:p w:rsidR="00BD6D45" w:rsidRDefault="00C934BC" w:rsidP="00BD6D45">
            <w:pPr>
              <w:pStyle w:val="a9"/>
              <w:ind w:firstLine="0"/>
              <w:jc w:val="center"/>
              <w:rPr>
                <w:sz w:val="24"/>
                <w:szCs w:val="24"/>
              </w:rPr>
            </w:pPr>
            <w:r>
              <w:rPr>
                <w:sz w:val="24"/>
                <w:szCs w:val="24"/>
              </w:rPr>
              <w:t>9 550 000 руб.</w:t>
            </w:r>
          </w:p>
        </w:tc>
        <w:tc>
          <w:tcPr>
            <w:tcW w:w="2120" w:type="dxa"/>
            <w:vAlign w:val="center"/>
          </w:tcPr>
          <w:p w:rsidR="00BD6D45" w:rsidRDefault="00640342" w:rsidP="00BD6D45">
            <w:pPr>
              <w:pStyle w:val="a9"/>
              <w:ind w:firstLine="0"/>
              <w:jc w:val="center"/>
              <w:rPr>
                <w:sz w:val="24"/>
                <w:szCs w:val="24"/>
              </w:rPr>
            </w:pPr>
            <w:r>
              <w:rPr>
                <w:sz w:val="24"/>
                <w:szCs w:val="24"/>
              </w:rPr>
              <w:t>11 260 000 руб.</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14.31</w:t>
            </w:r>
          </w:p>
        </w:tc>
        <w:tc>
          <w:tcPr>
            <w:tcW w:w="2268" w:type="dxa"/>
            <w:vAlign w:val="center"/>
          </w:tcPr>
          <w:p w:rsidR="00BD6D45" w:rsidRDefault="00A431C7" w:rsidP="00BD6D45">
            <w:pPr>
              <w:pStyle w:val="a9"/>
              <w:ind w:firstLine="0"/>
              <w:jc w:val="center"/>
              <w:rPr>
                <w:sz w:val="24"/>
                <w:szCs w:val="24"/>
              </w:rPr>
            </w:pPr>
            <w:r>
              <w:rPr>
                <w:sz w:val="24"/>
                <w:szCs w:val="24"/>
              </w:rPr>
              <w:t>4 086 000 руб.</w:t>
            </w:r>
          </w:p>
        </w:tc>
        <w:tc>
          <w:tcPr>
            <w:tcW w:w="2410" w:type="dxa"/>
            <w:vAlign w:val="center"/>
          </w:tcPr>
          <w:p w:rsidR="00BD6D45" w:rsidRDefault="00C934BC" w:rsidP="00BD6D45">
            <w:pPr>
              <w:pStyle w:val="a9"/>
              <w:ind w:firstLine="0"/>
              <w:jc w:val="center"/>
              <w:rPr>
                <w:sz w:val="24"/>
                <w:szCs w:val="24"/>
              </w:rPr>
            </w:pPr>
            <w:r>
              <w:rPr>
                <w:sz w:val="24"/>
                <w:szCs w:val="24"/>
              </w:rPr>
              <w:t>2 267 500 руб.</w:t>
            </w:r>
          </w:p>
        </w:tc>
        <w:tc>
          <w:tcPr>
            <w:tcW w:w="2120" w:type="dxa"/>
            <w:vAlign w:val="center"/>
          </w:tcPr>
          <w:p w:rsidR="00BD6D45" w:rsidRDefault="00640342" w:rsidP="00BD6D45">
            <w:pPr>
              <w:pStyle w:val="a9"/>
              <w:ind w:firstLine="0"/>
              <w:jc w:val="center"/>
              <w:rPr>
                <w:sz w:val="24"/>
                <w:szCs w:val="24"/>
              </w:rPr>
            </w:pPr>
            <w:r>
              <w:rPr>
                <w:sz w:val="24"/>
                <w:szCs w:val="24"/>
              </w:rPr>
              <w:t>560 000 руб.</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19.5</w:t>
            </w:r>
          </w:p>
        </w:tc>
        <w:tc>
          <w:tcPr>
            <w:tcW w:w="2268" w:type="dxa"/>
            <w:vAlign w:val="center"/>
          </w:tcPr>
          <w:p w:rsidR="00BD6D45" w:rsidRDefault="00A431C7" w:rsidP="00BD6D45">
            <w:pPr>
              <w:pStyle w:val="a9"/>
              <w:ind w:firstLine="0"/>
              <w:jc w:val="center"/>
              <w:rPr>
                <w:sz w:val="24"/>
                <w:szCs w:val="24"/>
              </w:rPr>
            </w:pPr>
            <w:r>
              <w:rPr>
                <w:sz w:val="24"/>
                <w:szCs w:val="24"/>
              </w:rPr>
              <w:t>300 000 руб.</w:t>
            </w:r>
          </w:p>
        </w:tc>
        <w:tc>
          <w:tcPr>
            <w:tcW w:w="2410" w:type="dxa"/>
            <w:vAlign w:val="center"/>
          </w:tcPr>
          <w:p w:rsidR="00BD6D45" w:rsidRDefault="00C934BC" w:rsidP="00BD6D45">
            <w:pPr>
              <w:pStyle w:val="a9"/>
              <w:ind w:firstLine="0"/>
              <w:jc w:val="center"/>
              <w:rPr>
                <w:sz w:val="24"/>
                <w:szCs w:val="24"/>
              </w:rPr>
            </w:pPr>
            <w:r>
              <w:rPr>
                <w:sz w:val="24"/>
                <w:szCs w:val="24"/>
              </w:rPr>
              <w:t>0 руб.</w:t>
            </w:r>
          </w:p>
        </w:tc>
        <w:tc>
          <w:tcPr>
            <w:tcW w:w="2120" w:type="dxa"/>
            <w:vAlign w:val="center"/>
          </w:tcPr>
          <w:p w:rsidR="00BD6D45" w:rsidRDefault="00640342" w:rsidP="00BD6D45">
            <w:pPr>
              <w:pStyle w:val="a9"/>
              <w:ind w:firstLine="0"/>
              <w:jc w:val="center"/>
              <w:rPr>
                <w:sz w:val="24"/>
                <w:szCs w:val="24"/>
              </w:rPr>
            </w:pPr>
            <w:r>
              <w:rPr>
                <w:sz w:val="24"/>
                <w:szCs w:val="24"/>
              </w:rPr>
              <w:t>0 руб.</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19.8</w:t>
            </w:r>
          </w:p>
        </w:tc>
        <w:tc>
          <w:tcPr>
            <w:tcW w:w="2268" w:type="dxa"/>
            <w:vAlign w:val="center"/>
          </w:tcPr>
          <w:p w:rsidR="00BD6D45" w:rsidRDefault="00A431C7" w:rsidP="00BD6D45">
            <w:pPr>
              <w:pStyle w:val="a9"/>
              <w:ind w:firstLine="0"/>
              <w:jc w:val="center"/>
              <w:rPr>
                <w:sz w:val="24"/>
                <w:szCs w:val="24"/>
              </w:rPr>
            </w:pPr>
            <w:r>
              <w:rPr>
                <w:sz w:val="24"/>
                <w:szCs w:val="24"/>
              </w:rPr>
              <w:t>50 000 руб.</w:t>
            </w:r>
          </w:p>
        </w:tc>
        <w:tc>
          <w:tcPr>
            <w:tcW w:w="2410" w:type="dxa"/>
            <w:vAlign w:val="center"/>
          </w:tcPr>
          <w:p w:rsidR="00BD6D45" w:rsidRDefault="00C934BC" w:rsidP="00BD6D45">
            <w:pPr>
              <w:pStyle w:val="a9"/>
              <w:ind w:firstLine="0"/>
              <w:jc w:val="center"/>
              <w:rPr>
                <w:sz w:val="24"/>
                <w:szCs w:val="24"/>
              </w:rPr>
            </w:pPr>
            <w:r>
              <w:rPr>
                <w:sz w:val="24"/>
                <w:szCs w:val="24"/>
              </w:rPr>
              <w:t>0 руб.</w:t>
            </w:r>
          </w:p>
        </w:tc>
        <w:tc>
          <w:tcPr>
            <w:tcW w:w="2120" w:type="dxa"/>
            <w:vAlign w:val="center"/>
          </w:tcPr>
          <w:p w:rsidR="00BD6D45" w:rsidRDefault="00640342" w:rsidP="00BD6D45">
            <w:pPr>
              <w:pStyle w:val="a9"/>
              <w:ind w:firstLine="0"/>
              <w:jc w:val="center"/>
              <w:rPr>
                <w:sz w:val="24"/>
                <w:szCs w:val="24"/>
              </w:rPr>
            </w:pPr>
            <w:r>
              <w:rPr>
                <w:sz w:val="24"/>
                <w:szCs w:val="24"/>
              </w:rPr>
              <w:t>10 000 руб.</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 xml:space="preserve">ст. 20.25 </w:t>
            </w:r>
          </w:p>
        </w:tc>
        <w:tc>
          <w:tcPr>
            <w:tcW w:w="2268" w:type="dxa"/>
            <w:vAlign w:val="center"/>
          </w:tcPr>
          <w:p w:rsidR="00BD6D45" w:rsidRDefault="00A431C7" w:rsidP="00BD6D45">
            <w:pPr>
              <w:pStyle w:val="a9"/>
              <w:ind w:firstLine="0"/>
              <w:jc w:val="center"/>
              <w:rPr>
                <w:sz w:val="24"/>
                <w:szCs w:val="24"/>
              </w:rPr>
            </w:pPr>
            <w:r>
              <w:rPr>
                <w:sz w:val="24"/>
                <w:szCs w:val="24"/>
              </w:rPr>
              <w:t>0 руб.</w:t>
            </w:r>
          </w:p>
        </w:tc>
        <w:tc>
          <w:tcPr>
            <w:tcW w:w="2410" w:type="dxa"/>
            <w:vAlign w:val="center"/>
          </w:tcPr>
          <w:p w:rsidR="00BD6D45" w:rsidRDefault="00C934BC" w:rsidP="00BD6D45">
            <w:pPr>
              <w:pStyle w:val="a9"/>
              <w:ind w:firstLine="0"/>
              <w:jc w:val="center"/>
              <w:rPr>
                <w:sz w:val="24"/>
                <w:szCs w:val="24"/>
              </w:rPr>
            </w:pPr>
            <w:r>
              <w:rPr>
                <w:sz w:val="24"/>
                <w:szCs w:val="24"/>
              </w:rPr>
              <w:t>0 руб.</w:t>
            </w:r>
          </w:p>
        </w:tc>
        <w:tc>
          <w:tcPr>
            <w:tcW w:w="2120" w:type="dxa"/>
            <w:vAlign w:val="center"/>
          </w:tcPr>
          <w:p w:rsidR="00BD6D45" w:rsidRDefault="00640342" w:rsidP="00BD6D45">
            <w:pPr>
              <w:pStyle w:val="a9"/>
              <w:ind w:firstLine="0"/>
              <w:jc w:val="center"/>
              <w:rPr>
                <w:sz w:val="24"/>
                <w:szCs w:val="24"/>
              </w:rPr>
            </w:pPr>
            <w:r>
              <w:rPr>
                <w:sz w:val="24"/>
                <w:szCs w:val="24"/>
              </w:rPr>
              <w:t>0 руб.</w:t>
            </w:r>
          </w:p>
        </w:tc>
      </w:tr>
      <w:tr w:rsidR="00BD6D45" w:rsidRPr="00E33863" w:rsidTr="00BD6D45">
        <w:tc>
          <w:tcPr>
            <w:tcW w:w="2830" w:type="dxa"/>
          </w:tcPr>
          <w:p w:rsidR="00BD6D45" w:rsidRPr="00BD6D45" w:rsidRDefault="00BD6D45" w:rsidP="00BD6D45">
            <w:pPr>
              <w:pStyle w:val="a9"/>
              <w:ind w:firstLine="0"/>
              <w:jc w:val="left"/>
              <w:rPr>
                <w:b/>
                <w:szCs w:val="24"/>
              </w:rPr>
            </w:pPr>
            <w:r w:rsidRPr="00BD6D45">
              <w:rPr>
                <w:b/>
                <w:szCs w:val="24"/>
              </w:rPr>
              <w:t>Взыскано штрафов</w:t>
            </w:r>
          </w:p>
        </w:tc>
        <w:tc>
          <w:tcPr>
            <w:tcW w:w="2268" w:type="dxa"/>
          </w:tcPr>
          <w:p w:rsidR="00BD6D45" w:rsidRPr="00BD6D45" w:rsidRDefault="00BD6D45" w:rsidP="00BD6D45">
            <w:pPr>
              <w:pStyle w:val="a9"/>
              <w:ind w:firstLine="0"/>
              <w:jc w:val="center"/>
              <w:rPr>
                <w:b/>
                <w:szCs w:val="24"/>
              </w:rPr>
            </w:pPr>
            <w:r w:rsidRPr="00BD6D45">
              <w:rPr>
                <w:b/>
                <w:szCs w:val="24"/>
              </w:rPr>
              <w:t>9 671 700 руб.</w:t>
            </w:r>
          </w:p>
        </w:tc>
        <w:tc>
          <w:tcPr>
            <w:tcW w:w="2410" w:type="dxa"/>
          </w:tcPr>
          <w:p w:rsidR="00BD6D45" w:rsidRPr="00BD6D45" w:rsidRDefault="00E0095B" w:rsidP="00BD6D45">
            <w:pPr>
              <w:pStyle w:val="a9"/>
              <w:ind w:firstLine="0"/>
              <w:jc w:val="center"/>
              <w:rPr>
                <w:b/>
                <w:szCs w:val="24"/>
              </w:rPr>
            </w:pPr>
            <w:r>
              <w:rPr>
                <w:b/>
                <w:szCs w:val="24"/>
              </w:rPr>
              <w:t>10 597 800</w:t>
            </w:r>
            <w:r w:rsidR="00BD6D45" w:rsidRPr="00BD6D45">
              <w:rPr>
                <w:b/>
                <w:szCs w:val="24"/>
              </w:rPr>
              <w:t xml:space="preserve"> руб.</w:t>
            </w:r>
          </w:p>
        </w:tc>
        <w:tc>
          <w:tcPr>
            <w:tcW w:w="2120" w:type="dxa"/>
          </w:tcPr>
          <w:p w:rsidR="00BD6D45" w:rsidRPr="00BD6D45" w:rsidRDefault="00BD6D45" w:rsidP="00BD6D45">
            <w:pPr>
              <w:pStyle w:val="a9"/>
              <w:ind w:firstLine="0"/>
              <w:jc w:val="center"/>
              <w:rPr>
                <w:b/>
                <w:szCs w:val="24"/>
              </w:rPr>
            </w:pPr>
            <w:r w:rsidRPr="00BD6D45">
              <w:rPr>
                <w:b/>
                <w:szCs w:val="24"/>
              </w:rPr>
              <w:t>10 </w:t>
            </w:r>
            <w:r w:rsidR="00E24525">
              <w:rPr>
                <w:b/>
                <w:szCs w:val="24"/>
              </w:rPr>
              <w:t>500</w:t>
            </w:r>
            <w:r w:rsidRPr="00BD6D45">
              <w:rPr>
                <w:b/>
                <w:szCs w:val="24"/>
              </w:rPr>
              <w:t> 000 руб.</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9.15</w:t>
            </w:r>
          </w:p>
        </w:tc>
        <w:tc>
          <w:tcPr>
            <w:tcW w:w="2268" w:type="dxa"/>
            <w:vAlign w:val="center"/>
          </w:tcPr>
          <w:p w:rsidR="00BD6D45" w:rsidRDefault="008C6DF7" w:rsidP="00BD6D45">
            <w:pPr>
              <w:pStyle w:val="a9"/>
              <w:ind w:firstLine="0"/>
              <w:jc w:val="center"/>
              <w:rPr>
                <w:sz w:val="24"/>
                <w:szCs w:val="24"/>
              </w:rPr>
            </w:pPr>
            <w:r>
              <w:rPr>
                <w:sz w:val="24"/>
                <w:szCs w:val="24"/>
              </w:rPr>
              <w:t>600 000 руб.</w:t>
            </w:r>
          </w:p>
        </w:tc>
        <w:tc>
          <w:tcPr>
            <w:tcW w:w="2410" w:type="dxa"/>
            <w:vAlign w:val="center"/>
          </w:tcPr>
          <w:p w:rsidR="00BD6D45" w:rsidRDefault="005776CD" w:rsidP="00BD6D45">
            <w:pPr>
              <w:pStyle w:val="a9"/>
              <w:ind w:firstLine="0"/>
              <w:jc w:val="center"/>
              <w:rPr>
                <w:sz w:val="24"/>
                <w:szCs w:val="24"/>
              </w:rPr>
            </w:pPr>
            <w:r>
              <w:rPr>
                <w:sz w:val="24"/>
                <w:szCs w:val="24"/>
              </w:rPr>
              <w:t>0 руб.</w:t>
            </w:r>
          </w:p>
        </w:tc>
        <w:tc>
          <w:tcPr>
            <w:tcW w:w="2120" w:type="dxa"/>
            <w:vAlign w:val="center"/>
          </w:tcPr>
          <w:p w:rsidR="00BD6D45" w:rsidRDefault="00E72E2A" w:rsidP="00BD6D45">
            <w:pPr>
              <w:pStyle w:val="a9"/>
              <w:ind w:firstLine="0"/>
              <w:jc w:val="center"/>
              <w:rPr>
                <w:sz w:val="24"/>
                <w:szCs w:val="24"/>
              </w:rPr>
            </w:pPr>
            <w:r>
              <w:rPr>
                <w:sz w:val="24"/>
                <w:szCs w:val="24"/>
              </w:rPr>
              <w:t>0 руб.</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9.16</w:t>
            </w:r>
          </w:p>
        </w:tc>
        <w:tc>
          <w:tcPr>
            <w:tcW w:w="2268" w:type="dxa"/>
            <w:vAlign w:val="center"/>
          </w:tcPr>
          <w:p w:rsidR="00BD6D45" w:rsidRDefault="008C6DF7" w:rsidP="00BD6D45">
            <w:pPr>
              <w:pStyle w:val="a9"/>
              <w:ind w:firstLine="0"/>
              <w:jc w:val="center"/>
              <w:rPr>
                <w:sz w:val="24"/>
                <w:szCs w:val="24"/>
              </w:rPr>
            </w:pPr>
            <w:r>
              <w:rPr>
                <w:sz w:val="24"/>
                <w:szCs w:val="24"/>
              </w:rPr>
              <w:t>100 000 руб.</w:t>
            </w:r>
          </w:p>
        </w:tc>
        <w:tc>
          <w:tcPr>
            <w:tcW w:w="2410" w:type="dxa"/>
            <w:vAlign w:val="center"/>
          </w:tcPr>
          <w:p w:rsidR="00BD6D45" w:rsidRDefault="005776CD" w:rsidP="00BD6D45">
            <w:pPr>
              <w:pStyle w:val="a9"/>
              <w:ind w:firstLine="0"/>
              <w:jc w:val="center"/>
              <w:rPr>
                <w:sz w:val="24"/>
                <w:szCs w:val="24"/>
              </w:rPr>
            </w:pPr>
            <w:r>
              <w:rPr>
                <w:sz w:val="24"/>
                <w:szCs w:val="24"/>
              </w:rPr>
              <w:t>120 000 руб.</w:t>
            </w:r>
          </w:p>
        </w:tc>
        <w:tc>
          <w:tcPr>
            <w:tcW w:w="2120" w:type="dxa"/>
            <w:vAlign w:val="center"/>
          </w:tcPr>
          <w:p w:rsidR="00BD6D45" w:rsidRDefault="00E72E2A" w:rsidP="00BD6D45">
            <w:pPr>
              <w:pStyle w:val="a9"/>
              <w:ind w:firstLine="0"/>
              <w:jc w:val="center"/>
              <w:rPr>
                <w:sz w:val="24"/>
                <w:szCs w:val="24"/>
              </w:rPr>
            </w:pPr>
            <w:r>
              <w:rPr>
                <w:sz w:val="24"/>
                <w:szCs w:val="24"/>
              </w:rPr>
              <w:t>0 руб.</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9.21</w:t>
            </w:r>
          </w:p>
        </w:tc>
        <w:tc>
          <w:tcPr>
            <w:tcW w:w="2268" w:type="dxa"/>
            <w:vAlign w:val="center"/>
          </w:tcPr>
          <w:p w:rsidR="00BD6D45" w:rsidRDefault="008C6DF7" w:rsidP="00BD6D45">
            <w:pPr>
              <w:pStyle w:val="a9"/>
              <w:ind w:firstLine="0"/>
              <w:jc w:val="center"/>
              <w:rPr>
                <w:sz w:val="24"/>
                <w:szCs w:val="24"/>
              </w:rPr>
            </w:pPr>
            <w:r>
              <w:rPr>
                <w:sz w:val="24"/>
                <w:szCs w:val="24"/>
              </w:rPr>
              <w:t>2 050 000 руб.</w:t>
            </w:r>
          </w:p>
        </w:tc>
        <w:tc>
          <w:tcPr>
            <w:tcW w:w="2410" w:type="dxa"/>
            <w:vAlign w:val="center"/>
          </w:tcPr>
          <w:p w:rsidR="00BD6D45" w:rsidRDefault="005776CD" w:rsidP="00BD6D45">
            <w:pPr>
              <w:pStyle w:val="a9"/>
              <w:ind w:firstLine="0"/>
              <w:jc w:val="center"/>
              <w:rPr>
                <w:sz w:val="24"/>
                <w:szCs w:val="24"/>
              </w:rPr>
            </w:pPr>
            <w:r>
              <w:rPr>
                <w:sz w:val="24"/>
                <w:szCs w:val="24"/>
              </w:rPr>
              <w:t>5 500 000 руб.</w:t>
            </w:r>
          </w:p>
        </w:tc>
        <w:tc>
          <w:tcPr>
            <w:tcW w:w="2120" w:type="dxa"/>
            <w:vAlign w:val="center"/>
          </w:tcPr>
          <w:p w:rsidR="00BD6D45" w:rsidRDefault="00E72E2A" w:rsidP="00BD6D45">
            <w:pPr>
              <w:pStyle w:val="a9"/>
              <w:ind w:firstLine="0"/>
              <w:jc w:val="center"/>
              <w:rPr>
                <w:sz w:val="24"/>
                <w:szCs w:val="24"/>
              </w:rPr>
            </w:pPr>
            <w:r>
              <w:rPr>
                <w:sz w:val="24"/>
                <w:szCs w:val="24"/>
              </w:rPr>
              <w:t>10 130 000 руб.</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14.31</w:t>
            </w:r>
          </w:p>
        </w:tc>
        <w:tc>
          <w:tcPr>
            <w:tcW w:w="2268" w:type="dxa"/>
            <w:vAlign w:val="center"/>
          </w:tcPr>
          <w:p w:rsidR="00BD6D45" w:rsidRDefault="00753C00" w:rsidP="00BD6D45">
            <w:pPr>
              <w:pStyle w:val="a9"/>
              <w:ind w:firstLine="0"/>
              <w:jc w:val="center"/>
              <w:rPr>
                <w:sz w:val="24"/>
                <w:szCs w:val="24"/>
              </w:rPr>
            </w:pPr>
            <w:r>
              <w:rPr>
                <w:sz w:val="24"/>
                <w:szCs w:val="24"/>
              </w:rPr>
              <w:t>6 921 700</w:t>
            </w:r>
            <w:r w:rsidR="008C6DF7">
              <w:rPr>
                <w:sz w:val="24"/>
                <w:szCs w:val="24"/>
              </w:rPr>
              <w:t xml:space="preserve"> руб.</w:t>
            </w:r>
          </w:p>
        </w:tc>
        <w:tc>
          <w:tcPr>
            <w:tcW w:w="2410" w:type="dxa"/>
            <w:vAlign w:val="center"/>
          </w:tcPr>
          <w:p w:rsidR="00BD6D45" w:rsidRDefault="005776CD" w:rsidP="00BD6D45">
            <w:pPr>
              <w:pStyle w:val="a9"/>
              <w:ind w:firstLine="0"/>
              <w:jc w:val="center"/>
              <w:rPr>
                <w:sz w:val="24"/>
                <w:szCs w:val="24"/>
              </w:rPr>
            </w:pPr>
            <w:r>
              <w:rPr>
                <w:sz w:val="24"/>
                <w:szCs w:val="24"/>
              </w:rPr>
              <w:t>4 977 800 руб.</w:t>
            </w:r>
          </w:p>
        </w:tc>
        <w:tc>
          <w:tcPr>
            <w:tcW w:w="2120" w:type="dxa"/>
            <w:vAlign w:val="center"/>
          </w:tcPr>
          <w:p w:rsidR="00BD6D45" w:rsidRDefault="00E72E2A" w:rsidP="00BD6D45">
            <w:pPr>
              <w:pStyle w:val="a9"/>
              <w:ind w:firstLine="0"/>
              <w:jc w:val="center"/>
              <w:rPr>
                <w:sz w:val="24"/>
                <w:szCs w:val="24"/>
              </w:rPr>
            </w:pPr>
            <w:r>
              <w:rPr>
                <w:sz w:val="24"/>
                <w:szCs w:val="24"/>
              </w:rPr>
              <w:t>355 000 руб.</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19.5</w:t>
            </w:r>
          </w:p>
        </w:tc>
        <w:tc>
          <w:tcPr>
            <w:tcW w:w="2268" w:type="dxa"/>
            <w:vAlign w:val="center"/>
          </w:tcPr>
          <w:p w:rsidR="00BD6D45" w:rsidRDefault="008C6DF7" w:rsidP="00BD6D45">
            <w:pPr>
              <w:pStyle w:val="a9"/>
              <w:ind w:firstLine="0"/>
              <w:jc w:val="center"/>
              <w:rPr>
                <w:sz w:val="24"/>
                <w:szCs w:val="24"/>
              </w:rPr>
            </w:pPr>
            <w:r>
              <w:rPr>
                <w:sz w:val="24"/>
                <w:szCs w:val="24"/>
              </w:rPr>
              <w:t>0 руб.</w:t>
            </w:r>
          </w:p>
        </w:tc>
        <w:tc>
          <w:tcPr>
            <w:tcW w:w="2410" w:type="dxa"/>
            <w:vAlign w:val="center"/>
          </w:tcPr>
          <w:p w:rsidR="00BD6D45" w:rsidRDefault="005776CD" w:rsidP="00BD6D45">
            <w:pPr>
              <w:pStyle w:val="a9"/>
              <w:ind w:firstLine="0"/>
              <w:jc w:val="center"/>
              <w:rPr>
                <w:sz w:val="24"/>
                <w:szCs w:val="24"/>
              </w:rPr>
            </w:pPr>
            <w:r>
              <w:rPr>
                <w:sz w:val="24"/>
                <w:szCs w:val="24"/>
              </w:rPr>
              <w:t>0 руб.</w:t>
            </w:r>
          </w:p>
        </w:tc>
        <w:tc>
          <w:tcPr>
            <w:tcW w:w="2120" w:type="dxa"/>
            <w:vAlign w:val="center"/>
          </w:tcPr>
          <w:p w:rsidR="00BD6D45" w:rsidRDefault="00E72E2A" w:rsidP="00BD6D45">
            <w:pPr>
              <w:pStyle w:val="a9"/>
              <w:ind w:firstLine="0"/>
              <w:jc w:val="center"/>
              <w:rPr>
                <w:sz w:val="24"/>
                <w:szCs w:val="24"/>
              </w:rPr>
            </w:pPr>
            <w:r>
              <w:rPr>
                <w:sz w:val="24"/>
                <w:szCs w:val="24"/>
              </w:rPr>
              <w:t>0 руб.</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ст. 19.8</w:t>
            </w:r>
          </w:p>
        </w:tc>
        <w:tc>
          <w:tcPr>
            <w:tcW w:w="2268" w:type="dxa"/>
            <w:vAlign w:val="center"/>
          </w:tcPr>
          <w:p w:rsidR="00BD6D45" w:rsidRDefault="008C6DF7" w:rsidP="00BD6D45">
            <w:pPr>
              <w:pStyle w:val="a9"/>
              <w:ind w:firstLine="0"/>
              <w:jc w:val="center"/>
              <w:rPr>
                <w:sz w:val="24"/>
                <w:szCs w:val="24"/>
              </w:rPr>
            </w:pPr>
            <w:r>
              <w:rPr>
                <w:sz w:val="24"/>
                <w:szCs w:val="24"/>
              </w:rPr>
              <w:t>0 руб.</w:t>
            </w:r>
          </w:p>
        </w:tc>
        <w:tc>
          <w:tcPr>
            <w:tcW w:w="2410" w:type="dxa"/>
            <w:vAlign w:val="center"/>
          </w:tcPr>
          <w:p w:rsidR="00BD6D45" w:rsidRDefault="005776CD" w:rsidP="00BD6D45">
            <w:pPr>
              <w:pStyle w:val="a9"/>
              <w:ind w:firstLine="0"/>
              <w:jc w:val="center"/>
              <w:rPr>
                <w:sz w:val="24"/>
                <w:szCs w:val="24"/>
              </w:rPr>
            </w:pPr>
            <w:r>
              <w:rPr>
                <w:sz w:val="24"/>
                <w:szCs w:val="24"/>
              </w:rPr>
              <w:t>0 руб.</w:t>
            </w:r>
          </w:p>
        </w:tc>
        <w:tc>
          <w:tcPr>
            <w:tcW w:w="2120" w:type="dxa"/>
            <w:vAlign w:val="center"/>
          </w:tcPr>
          <w:p w:rsidR="00BD6D45" w:rsidRDefault="00E72E2A" w:rsidP="00BD6D45">
            <w:pPr>
              <w:pStyle w:val="a9"/>
              <w:ind w:firstLine="0"/>
              <w:jc w:val="center"/>
              <w:rPr>
                <w:sz w:val="24"/>
                <w:szCs w:val="24"/>
              </w:rPr>
            </w:pPr>
            <w:r>
              <w:rPr>
                <w:sz w:val="24"/>
                <w:szCs w:val="24"/>
              </w:rPr>
              <w:t>15 000 руб.</w:t>
            </w:r>
          </w:p>
        </w:tc>
      </w:tr>
      <w:tr w:rsidR="00BD6D45" w:rsidRPr="00E33863" w:rsidTr="00BD6D45">
        <w:tc>
          <w:tcPr>
            <w:tcW w:w="2830" w:type="dxa"/>
          </w:tcPr>
          <w:p w:rsidR="00BD6D45" w:rsidRDefault="00BD6D45" w:rsidP="00BD6D45">
            <w:pPr>
              <w:pStyle w:val="a9"/>
              <w:ind w:firstLine="0"/>
              <w:jc w:val="left"/>
              <w:rPr>
                <w:sz w:val="24"/>
                <w:szCs w:val="24"/>
              </w:rPr>
            </w:pPr>
            <w:r>
              <w:rPr>
                <w:sz w:val="24"/>
                <w:szCs w:val="24"/>
              </w:rPr>
              <w:t xml:space="preserve">ст. 20.25 </w:t>
            </w:r>
          </w:p>
        </w:tc>
        <w:tc>
          <w:tcPr>
            <w:tcW w:w="2268" w:type="dxa"/>
            <w:vAlign w:val="center"/>
          </w:tcPr>
          <w:p w:rsidR="00BD6D45" w:rsidRDefault="008C6DF7" w:rsidP="00BD6D45">
            <w:pPr>
              <w:pStyle w:val="a9"/>
              <w:ind w:firstLine="0"/>
              <w:jc w:val="center"/>
              <w:rPr>
                <w:sz w:val="24"/>
                <w:szCs w:val="24"/>
              </w:rPr>
            </w:pPr>
            <w:r>
              <w:rPr>
                <w:sz w:val="24"/>
                <w:szCs w:val="24"/>
              </w:rPr>
              <w:t>0 руб.</w:t>
            </w:r>
          </w:p>
        </w:tc>
        <w:tc>
          <w:tcPr>
            <w:tcW w:w="2410" w:type="dxa"/>
            <w:vAlign w:val="center"/>
          </w:tcPr>
          <w:p w:rsidR="00BD6D45" w:rsidRDefault="005776CD" w:rsidP="00BD6D45">
            <w:pPr>
              <w:pStyle w:val="a9"/>
              <w:ind w:firstLine="0"/>
              <w:jc w:val="center"/>
              <w:rPr>
                <w:sz w:val="24"/>
                <w:szCs w:val="24"/>
              </w:rPr>
            </w:pPr>
            <w:r>
              <w:rPr>
                <w:sz w:val="24"/>
                <w:szCs w:val="24"/>
              </w:rPr>
              <w:t>0 руб.</w:t>
            </w:r>
          </w:p>
        </w:tc>
        <w:tc>
          <w:tcPr>
            <w:tcW w:w="2120" w:type="dxa"/>
            <w:vAlign w:val="center"/>
          </w:tcPr>
          <w:p w:rsidR="00BD6D45" w:rsidRDefault="00E72E2A" w:rsidP="00BD6D45">
            <w:pPr>
              <w:pStyle w:val="a9"/>
              <w:ind w:firstLine="0"/>
              <w:jc w:val="center"/>
              <w:rPr>
                <w:sz w:val="24"/>
                <w:szCs w:val="24"/>
              </w:rPr>
            </w:pPr>
            <w:r>
              <w:rPr>
                <w:sz w:val="24"/>
                <w:szCs w:val="24"/>
              </w:rPr>
              <w:t>0 руб.</w:t>
            </w:r>
          </w:p>
        </w:tc>
      </w:tr>
    </w:tbl>
    <w:p w:rsidR="00352E1B" w:rsidRPr="007F2E17" w:rsidRDefault="00352E1B" w:rsidP="00352E1B">
      <w:pPr>
        <w:ind w:firstLine="851"/>
        <w:jc w:val="both"/>
        <w:rPr>
          <w:szCs w:val="28"/>
        </w:rPr>
      </w:pPr>
      <w:r w:rsidRPr="007F2E17">
        <w:rPr>
          <w:szCs w:val="28"/>
        </w:rPr>
        <w:lastRenderedPageBreak/>
        <w:t xml:space="preserve">В </w:t>
      </w:r>
      <w:r>
        <w:rPr>
          <w:szCs w:val="28"/>
        </w:rPr>
        <w:t>1</w:t>
      </w:r>
      <w:r w:rsidRPr="007F2E17">
        <w:rPr>
          <w:szCs w:val="28"/>
        </w:rPr>
        <w:t xml:space="preserve"> </w:t>
      </w:r>
      <w:r>
        <w:rPr>
          <w:szCs w:val="28"/>
        </w:rPr>
        <w:t xml:space="preserve">полугодии </w:t>
      </w:r>
      <w:r w:rsidRPr="007F2E17">
        <w:rPr>
          <w:szCs w:val="28"/>
        </w:rPr>
        <w:t>20</w:t>
      </w:r>
      <w:r>
        <w:rPr>
          <w:szCs w:val="28"/>
        </w:rPr>
        <w:t>20</w:t>
      </w:r>
      <w:r w:rsidRPr="007F2E17">
        <w:rPr>
          <w:szCs w:val="28"/>
        </w:rPr>
        <w:t xml:space="preserve"> года на рассмотрение в отдел контроля за соблюдением антимонопольного законодательства поступило более </w:t>
      </w:r>
      <w:r w:rsidRPr="00352E1B">
        <w:rPr>
          <w:szCs w:val="28"/>
        </w:rPr>
        <w:t>570</w:t>
      </w:r>
      <w:r>
        <w:rPr>
          <w:szCs w:val="28"/>
        </w:rPr>
        <w:t xml:space="preserve"> </w:t>
      </w:r>
      <w:r w:rsidRPr="007F2E17">
        <w:rPr>
          <w:szCs w:val="28"/>
        </w:rPr>
        <w:t>заявлений граждан, индивидуальных предпринимателей и юридических лиц.</w:t>
      </w:r>
    </w:p>
    <w:p w:rsidR="00352E1B" w:rsidRPr="007F2E17" w:rsidRDefault="00352E1B" w:rsidP="00352E1B">
      <w:pPr>
        <w:autoSpaceDE w:val="0"/>
        <w:autoSpaceDN w:val="0"/>
        <w:adjustRightInd w:val="0"/>
        <w:ind w:firstLine="851"/>
        <w:jc w:val="both"/>
        <w:rPr>
          <w:szCs w:val="28"/>
        </w:rPr>
      </w:pPr>
      <w:r w:rsidRPr="007F2E17">
        <w:rPr>
          <w:szCs w:val="28"/>
        </w:rPr>
        <w:t xml:space="preserve">В связи с тем, что с 10.01.2016г. заявления физических лиц о нарушении их интересов, не связанных с предпринимательской деятельностью или с ущемлением интересов неограниченного круга потребителей, подлежат направлению в соответствующий орган исполнительной власти, </w:t>
      </w:r>
      <w:r w:rsidR="007D422A">
        <w:rPr>
          <w:szCs w:val="28"/>
        </w:rPr>
        <w:t xml:space="preserve">более </w:t>
      </w:r>
      <w:r w:rsidR="00DB6991" w:rsidRPr="00DB6991">
        <w:rPr>
          <w:szCs w:val="28"/>
        </w:rPr>
        <w:t>5</w:t>
      </w:r>
      <w:r w:rsidR="007D422A">
        <w:rPr>
          <w:szCs w:val="28"/>
        </w:rPr>
        <w:t>0</w:t>
      </w:r>
      <w:r w:rsidR="00DB6991" w:rsidRPr="00DB6991">
        <w:rPr>
          <w:szCs w:val="28"/>
        </w:rPr>
        <w:t>0</w:t>
      </w:r>
      <w:r w:rsidRPr="007F2E17">
        <w:rPr>
          <w:szCs w:val="28"/>
        </w:rPr>
        <w:t xml:space="preserve"> заявлений из числа поступивших перенаправлено в соответствующие органы, в компетенцию которых входит решение поставленных в обращении вопросов.</w:t>
      </w:r>
    </w:p>
    <w:p w:rsidR="00352E1B" w:rsidRPr="007F2E17" w:rsidRDefault="00352E1B" w:rsidP="00352E1B">
      <w:pPr>
        <w:autoSpaceDE w:val="0"/>
        <w:autoSpaceDN w:val="0"/>
        <w:adjustRightInd w:val="0"/>
        <w:ind w:firstLine="851"/>
        <w:jc w:val="both"/>
        <w:rPr>
          <w:szCs w:val="28"/>
        </w:rPr>
      </w:pPr>
      <w:r w:rsidRPr="007F2E17">
        <w:rPr>
          <w:szCs w:val="28"/>
        </w:rPr>
        <w:t>В большинстве случаев это заявления граждан о нарушениях в сфере жилищно-коммунального хозяйства, которые направлены нами на рассмотрение в Государственную жилищную инспекцию Ростовской области.</w:t>
      </w:r>
    </w:p>
    <w:p w:rsidR="00352E1B" w:rsidRPr="007F2E17" w:rsidRDefault="00352E1B" w:rsidP="00352E1B">
      <w:pPr>
        <w:ind w:firstLine="851"/>
        <w:jc w:val="both"/>
        <w:rPr>
          <w:szCs w:val="28"/>
        </w:rPr>
      </w:pPr>
      <w:r w:rsidRPr="007F2E17">
        <w:rPr>
          <w:szCs w:val="28"/>
        </w:rPr>
        <w:t xml:space="preserve">За указанный период рассмотрено </w:t>
      </w:r>
      <w:r w:rsidR="00DB6991">
        <w:rPr>
          <w:szCs w:val="28"/>
        </w:rPr>
        <w:t>6</w:t>
      </w:r>
      <w:r w:rsidRPr="007F2E17">
        <w:rPr>
          <w:szCs w:val="28"/>
        </w:rPr>
        <w:t xml:space="preserve"> дел о нарушении антимонопольного законодательства, еще </w:t>
      </w:r>
      <w:r w:rsidR="00DB6991">
        <w:rPr>
          <w:szCs w:val="28"/>
        </w:rPr>
        <w:t>6</w:t>
      </w:r>
      <w:r w:rsidRPr="007F2E17">
        <w:rPr>
          <w:szCs w:val="28"/>
        </w:rPr>
        <w:t xml:space="preserve"> дела возбуждено.</w:t>
      </w:r>
    </w:p>
    <w:p w:rsidR="00352E1B" w:rsidRPr="007F2E17" w:rsidRDefault="00352E1B" w:rsidP="00352E1B">
      <w:pPr>
        <w:autoSpaceDE w:val="0"/>
        <w:autoSpaceDN w:val="0"/>
        <w:adjustRightInd w:val="0"/>
        <w:ind w:firstLine="851"/>
        <w:jc w:val="both"/>
        <w:rPr>
          <w:szCs w:val="28"/>
        </w:rPr>
      </w:pPr>
      <w:r w:rsidRPr="007F2E17">
        <w:rPr>
          <w:szCs w:val="28"/>
        </w:rPr>
        <w:t xml:space="preserve">Выдано </w:t>
      </w:r>
      <w:r w:rsidR="00DB6991">
        <w:rPr>
          <w:szCs w:val="28"/>
        </w:rPr>
        <w:t>7</w:t>
      </w:r>
      <w:r w:rsidRPr="007F2E17">
        <w:rPr>
          <w:szCs w:val="28"/>
        </w:rPr>
        <w:t xml:space="preserve"> предупреждений о прекращении действий (бездействия), которые содержат признаки нарушения антимонопольного законодательства, </w:t>
      </w:r>
      <w:r w:rsidR="00DB6991">
        <w:rPr>
          <w:szCs w:val="28"/>
        </w:rPr>
        <w:t>5</w:t>
      </w:r>
      <w:r w:rsidRPr="007F2E17">
        <w:rPr>
          <w:szCs w:val="28"/>
        </w:rPr>
        <w:t xml:space="preserve"> из которых уже исполнены без возбуждения дел</w:t>
      </w:r>
      <w:r w:rsidR="00DB6991">
        <w:rPr>
          <w:szCs w:val="28"/>
        </w:rPr>
        <w:t>, 2 предупреждения находятся в стадии исполнения</w:t>
      </w:r>
      <w:r w:rsidRPr="007F2E17">
        <w:rPr>
          <w:szCs w:val="28"/>
        </w:rPr>
        <w:t>.</w:t>
      </w:r>
    </w:p>
    <w:p w:rsidR="00352E1B" w:rsidRPr="007F2E17" w:rsidRDefault="00352E1B" w:rsidP="00352E1B">
      <w:pPr>
        <w:autoSpaceDE w:val="0"/>
        <w:autoSpaceDN w:val="0"/>
        <w:adjustRightInd w:val="0"/>
        <w:ind w:firstLine="851"/>
        <w:jc w:val="both"/>
        <w:rPr>
          <w:szCs w:val="28"/>
        </w:rPr>
      </w:pPr>
      <w:r w:rsidRPr="007F2E17">
        <w:rPr>
          <w:szCs w:val="28"/>
        </w:rPr>
        <w:t xml:space="preserve">Подавляющее количество рассмотренных обращений – это жалобы на действия хозяйствующих субъектов, связанные с нарушением правил подключения (технологического присоединения) к соответствующим сетям (электрическим, водопроводным, газовым или теплу), а также жалобы на собственников и иных владельцев </w:t>
      </w:r>
      <w:proofErr w:type="gramStart"/>
      <w:r w:rsidRPr="007F2E17">
        <w:rPr>
          <w:szCs w:val="28"/>
        </w:rPr>
        <w:t>электро-сетевого</w:t>
      </w:r>
      <w:proofErr w:type="gramEnd"/>
      <w:r w:rsidRPr="007F2E17">
        <w:rPr>
          <w:szCs w:val="28"/>
        </w:rPr>
        <w:t xml:space="preserve"> хозяйства, а также водопроводных сетей о нарушении ими правил недискриминационного доступа к данным сетям.</w:t>
      </w:r>
    </w:p>
    <w:p w:rsidR="00352E1B" w:rsidRPr="007F2E17" w:rsidRDefault="00352E1B" w:rsidP="00352E1B">
      <w:pPr>
        <w:autoSpaceDE w:val="0"/>
        <w:autoSpaceDN w:val="0"/>
        <w:adjustRightInd w:val="0"/>
        <w:ind w:firstLine="851"/>
        <w:jc w:val="both"/>
        <w:rPr>
          <w:szCs w:val="28"/>
        </w:rPr>
      </w:pPr>
      <w:r w:rsidRPr="007F2E17">
        <w:rPr>
          <w:szCs w:val="28"/>
        </w:rPr>
        <w:t xml:space="preserve">Такие обращения рассматриваются в рамках Кодекса Российской Федерации об административных правонарушениях. Ответственность за нарушение правил подключения (технологического присоединения) к соответствующим сетям и нарушение правил </w:t>
      </w:r>
      <w:r w:rsidRPr="007F2E17">
        <w:rPr>
          <w:bCs/>
          <w:szCs w:val="28"/>
        </w:rPr>
        <w:t xml:space="preserve">(порядка обеспечения) </w:t>
      </w:r>
      <w:r w:rsidRPr="007F2E17">
        <w:rPr>
          <w:szCs w:val="28"/>
        </w:rPr>
        <w:t>недискриминационного доступа, предусмотрена статьей 9.21 КоАП.</w:t>
      </w:r>
    </w:p>
    <w:p w:rsidR="00352E1B" w:rsidRPr="007F2E17" w:rsidRDefault="00352E1B" w:rsidP="00352E1B">
      <w:pPr>
        <w:autoSpaceDE w:val="0"/>
        <w:autoSpaceDN w:val="0"/>
        <w:adjustRightInd w:val="0"/>
        <w:ind w:firstLine="851"/>
        <w:jc w:val="both"/>
        <w:rPr>
          <w:szCs w:val="28"/>
        </w:rPr>
      </w:pPr>
      <w:r w:rsidRPr="007F2E17">
        <w:rPr>
          <w:bCs/>
          <w:szCs w:val="28"/>
        </w:rPr>
        <w:t xml:space="preserve">Часть 1 статьи 9.21 предусматривает ответственность в виде административного штрафа в размере от 100 до 500 тысяч рублей для юридических лиц, и от 10 до 40 тыс. рублей на должностных лиц. Частью 2й данной статьи в качестве квалифицирующего признака предусмотрена </w:t>
      </w:r>
      <w:r w:rsidRPr="007F2E17">
        <w:rPr>
          <w:szCs w:val="28"/>
        </w:rPr>
        <w:t>повторность совершения административного правонарушения в течение одного календарного года с момента первого привлечения к ответственности за аналогичное правонарушение. Санкция части 2 статьи 9.21 значительно жестче:</w:t>
      </w:r>
      <w:r w:rsidRPr="007F2E17">
        <w:rPr>
          <w:bCs/>
          <w:szCs w:val="28"/>
        </w:rPr>
        <w:t xml:space="preserve"> для юридических лиц от 600 до 1 млн., для должностных лиц от 40 до 50 тыс. рублей,</w:t>
      </w:r>
      <w:r w:rsidRPr="007F2E17">
        <w:rPr>
          <w:szCs w:val="28"/>
        </w:rPr>
        <w:t xml:space="preserve"> причем для должностных лиц возможно назначение такого наказания, как дисквалификация, но по правилам Кодекса Российской Федерации об административных правонарушениях, назначаться данный вид наказания может только судьей.</w:t>
      </w:r>
    </w:p>
    <w:p w:rsidR="00352E1B" w:rsidRPr="007F2E17" w:rsidRDefault="00352E1B" w:rsidP="00352E1B">
      <w:pPr>
        <w:ind w:firstLine="851"/>
        <w:jc w:val="both"/>
        <w:rPr>
          <w:szCs w:val="28"/>
        </w:rPr>
      </w:pPr>
      <w:r w:rsidRPr="007F2E17">
        <w:rPr>
          <w:szCs w:val="28"/>
        </w:rPr>
        <w:t xml:space="preserve">За отчетный период </w:t>
      </w:r>
      <w:r w:rsidR="007D422A">
        <w:rPr>
          <w:szCs w:val="28"/>
        </w:rPr>
        <w:t xml:space="preserve">возбуждено 63 дела об административном правонарушении </w:t>
      </w:r>
      <w:r w:rsidRPr="007F2E17">
        <w:rPr>
          <w:szCs w:val="28"/>
        </w:rPr>
        <w:t xml:space="preserve">вынесено </w:t>
      </w:r>
      <w:r w:rsidR="007D422A">
        <w:rPr>
          <w:szCs w:val="28"/>
        </w:rPr>
        <w:t>32</w:t>
      </w:r>
      <w:r w:rsidRPr="007F2E17">
        <w:rPr>
          <w:szCs w:val="28"/>
        </w:rPr>
        <w:t xml:space="preserve"> постановлени</w:t>
      </w:r>
      <w:r w:rsidR="00224E2E">
        <w:rPr>
          <w:szCs w:val="28"/>
        </w:rPr>
        <w:t>я</w:t>
      </w:r>
      <w:r w:rsidRPr="007F2E17">
        <w:rPr>
          <w:szCs w:val="28"/>
        </w:rPr>
        <w:t xml:space="preserve"> о привлечении организаций и их должностных лиц к </w:t>
      </w:r>
      <w:r>
        <w:rPr>
          <w:szCs w:val="28"/>
        </w:rPr>
        <w:t xml:space="preserve">административной ответственности </w:t>
      </w:r>
      <w:r w:rsidRPr="007F2E17">
        <w:rPr>
          <w:szCs w:val="28"/>
        </w:rPr>
        <w:t xml:space="preserve">по статье 9.21 КоАП на общую сумму </w:t>
      </w:r>
      <w:r>
        <w:rPr>
          <w:szCs w:val="28"/>
        </w:rPr>
        <w:t xml:space="preserve">около </w:t>
      </w:r>
      <w:r w:rsidR="00224E2E">
        <w:rPr>
          <w:szCs w:val="28"/>
        </w:rPr>
        <w:t>11</w:t>
      </w:r>
      <w:r w:rsidRPr="007F2E17">
        <w:rPr>
          <w:szCs w:val="28"/>
        </w:rPr>
        <w:t xml:space="preserve"> млн. </w:t>
      </w:r>
      <w:r w:rsidR="00224E2E">
        <w:rPr>
          <w:szCs w:val="28"/>
        </w:rPr>
        <w:t>260</w:t>
      </w:r>
      <w:r w:rsidRPr="007F2E17">
        <w:rPr>
          <w:szCs w:val="28"/>
        </w:rPr>
        <w:t xml:space="preserve"> 000 рублей.</w:t>
      </w:r>
    </w:p>
    <w:p w:rsidR="00352E1B" w:rsidRPr="007F2E17" w:rsidRDefault="00352E1B" w:rsidP="00352E1B">
      <w:pPr>
        <w:autoSpaceDE w:val="0"/>
        <w:autoSpaceDN w:val="0"/>
        <w:adjustRightInd w:val="0"/>
        <w:ind w:firstLine="851"/>
        <w:jc w:val="both"/>
        <w:rPr>
          <w:bCs/>
          <w:szCs w:val="28"/>
        </w:rPr>
      </w:pPr>
      <w:r w:rsidRPr="007F2E17">
        <w:rPr>
          <w:bCs/>
          <w:szCs w:val="28"/>
        </w:rPr>
        <w:t>Наиболее часто выявлялись нарушения, совершенные путем уклонения субъектом естественной монополии от заключения и исполнения договоров технологического присоединения к сетям.</w:t>
      </w:r>
    </w:p>
    <w:p w:rsidR="00352E1B" w:rsidRDefault="00352E1B" w:rsidP="000501FE">
      <w:pPr>
        <w:pStyle w:val="a9"/>
        <w:spacing w:line="360" w:lineRule="auto"/>
        <w:ind w:firstLine="851"/>
        <w:rPr>
          <w:b/>
        </w:rPr>
      </w:pPr>
    </w:p>
    <w:p w:rsidR="00352E1B" w:rsidRDefault="00352E1B" w:rsidP="000501FE">
      <w:pPr>
        <w:pStyle w:val="a9"/>
        <w:spacing w:line="360" w:lineRule="auto"/>
        <w:ind w:firstLine="851"/>
        <w:rPr>
          <w:b/>
        </w:rPr>
      </w:pPr>
    </w:p>
    <w:p w:rsidR="003D7DC2" w:rsidRDefault="00A817EA" w:rsidP="00075D6F">
      <w:pPr>
        <w:pStyle w:val="a9"/>
        <w:ind w:firstLine="851"/>
        <w:rPr>
          <w:b/>
        </w:rPr>
      </w:pPr>
      <w:r w:rsidRPr="00166E87">
        <w:rPr>
          <w:b/>
        </w:rPr>
        <w:t>Пример</w:t>
      </w:r>
      <w:r w:rsidR="00D9674C">
        <w:rPr>
          <w:b/>
        </w:rPr>
        <w:t>ы судебных решений по делам, возбужденным</w:t>
      </w:r>
      <w:r w:rsidRPr="00166E87">
        <w:rPr>
          <w:b/>
        </w:rPr>
        <w:t xml:space="preserve"> по признакам нарушения статьи 10</w:t>
      </w:r>
      <w:r>
        <w:rPr>
          <w:b/>
        </w:rPr>
        <w:t xml:space="preserve"> Закона о защите конкуренции</w:t>
      </w:r>
    </w:p>
    <w:p w:rsidR="00D9674C" w:rsidRPr="00BA0FA1" w:rsidRDefault="009F1796" w:rsidP="00075D6F">
      <w:pPr>
        <w:pStyle w:val="a9"/>
        <w:ind w:firstLine="851"/>
        <w:rPr>
          <w:b/>
        </w:rPr>
      </w:pPr>
      <w:r>
        <w:rPr>
          <w:b/>
        </w:rPr>
        <w:t>1.</w:t>
      </w:r>
      <w:r w:rsidR="00BA0FA1">
        <w:rPr>
          <w:b/>
        </w:rPr>
        <w:t xml:space="preserve"> </w:t>
      </w:r>
      <w:r w:rsidR="00D9674C" w:rsidRPr="009F1796">
        <w:t>22 мая Пятнадцатый арбитражный апелляционный суд оставил в силе решение суда первой инстанции, подтвердив законность и обоснованность решения и предписания Ростовского УФАС России в отношении ГУП РО «УРСВ», понуждающего жителей Цимлянского района Ростовской области устанавливать приборы учёта холодной воды в колодцах за пределами их земельных участков.</w:t>
      </w:r>
    </w:p>
    <w:p w:rsidR="00D9674C" w:rsidRPr="009F1796" w:rsidRDefault="00D9674C" w:rsidP="00075D6F">
      <w:pPr>
        <w:ind w:firstLine="851"/>
        <w:jc w:val="both"/>
        <w:rPr>
          <w:szCs w:val="28"/>
        </w:rPr>
      </w:pPr>
      <w:r w:rsidRPr="009F1796">
        <w:rPr>
          <w:szCs w:val="28"/>
        </w:rPr>
        <w:t>Суть нарушения заключается в уклонении ГУП РО «УРСВ» от исполнения обязательств по эксплуатации водопроводных сетей за пределами внутридомовых инженерных систем жилых домов. Другими словами, гарантирующий поставщик отказывается обслуживать участки сетей, находящиеся между централизованной системой водоснабжения и земельными участками потребителей, перекладывая данную обязанность на самих жителей.</w:t>
      </w:r>
    </w:p>
    <w:p w:rsidR="00D9674C" w:rsidRPr="009F1796" w:rsidRDefault="00D9674C" w:rsidP="00075D6F">
      <w:pPr>
        <w:ind w:firstLine="851"/>
        <w:jc w:val="both"/>
        <w:rPr>
          <w:szCs w:val="28"/>
        </w:rPr>
      </w:pPr>
      <w:r w:rsidRPr="009F1796">
        <w:rPr>
          <w:szCs w:val="28"/>
        </w:rPr>
        <w:t>В этой ситуации существует проблема с эксплуатацией спорных участков сетей. Тем не менее, совершенно очевидно, что обязательства по её решению должно взять на себя именно ГУП РО «УРСВ», а не простые граждане.</w:t>
      </w:r>
    </w:p>
    <w:p w:rsidR="009F1796" w:rsidRDefault="00D9674C" w:rsidP="00075D6F">
      <w:pPr>
        <w:ind w:firstLine="851"/>
        <w:jc w:val="both"/>
        <w:rPr>
          <w:szCs w:val="28"/>
        </w:rPr>
      </w:pPr>
      <w:r w:rsidRPr="009F1796">
        <w:rPr>
          <w:szCs w:val="28"/>
        </w:rPr>
        <w:t>Совокупность обозначенных обстоятельств позволила Ростовскому УФАС России прийти к выводу о нарушении ГУП РО «УРСВ» закона «О защите конкуренции» и выдать гарантирующему поставщику предписание о необходимости разрешения ситуации путём выявления бесхозных участков сетей и последующего исполнения о</w:t>
      </w:r>
      <w:r w:rsidR="006C43E5" w:rsidRPr="009F1796">
        <w:rPr>
          <w:szCs w:val="28"/>
        </w:rPr>
        <w:t>бязательств по их эксплуатации.</w:t>
      </w:r>
    </w:p>
    <w:p w:rsidR="00075D6F" w:rsidRPr="007F2E17" w:rsidRDefault="00075D6F" w:rsidP="00075D6F">
      <w:pPr>
        <w:ind w:firstLine="851"/>
        <w:jc w:val="both"/>
        <w:rPr>
          <w:szCs w:val="28"/>
        </w:rPr>
      </w:pPr>
      <w:r>
        <w:rPr>
          <w:szCs w:val="28"/>
        </w:rPr>
        <w:t>Кроме того, е</w:t>
      </w:r>
      <w:r w:rsidRPr="007F2E17">
        <w:rPr>
          <w:szCs w:val="28"/>
        </w:rPr>
        <w:t xml:space="preserve">ще в июне 2019г. по обращениям граждан, депутата собрания депутатов Цимлянского городского поселения, Цимлянского района, г. Шахты, а в последующем председателя Законодательного Собрания Ростовской области Ищенко Александра Валентиновича с просьбой рассмотреть на соответствие антимонопольному законодательству </w:t>
      </w:r>
      <w:r w:rsidRPr="007F2E17">
        <w:rPr>
          <w:b/>
          <w:szCs w:val="28"/>
        </w:rPr>
        <w:t>действия</w:t>
      </w:r>
      <w:r w:rsidRPr="007F2E17">
        <w:rPr>
          <w:szCs w:val="28"/>
        </w:rPr>
        <w:t xml:space="preserve"> ГУП РО «УРСВ», </w:t>
      </w:r>
      <w:r w:rsidRPr="007F2E17">
        <w:rPr>
          <w:b/>
          <w:szCs w:val="28"/>
        </w:rPr>
        <w:t>выразившиеся в понуждении абонентов устанавливать приборы учета холодной воды в колодцах за пределами их земельных участков</w:t>
      </w:r>
      <w:r w:rsidRPr="007F2E17">
        <w:rPr>
          <w:szCs w:val="28"/>
        </w:rPr>
        <w:t xml:space="preserve">, Ростовским УФАС России было принято решение: о признании </w:t>
      </w:r>
      <w:r w:rsidRPr="007F2E17">
        <w:rPr>
          <w:bCs/>
          <w:szCs w:val="28"/>
        </w:rPr>
        <w:t>ГУП РО «УРСВ»</w:t>
      </w:r>
      <w:r w:rsidRPr="007F2E17">
        <w:rPr>
          <w:szCs w:val="28"/>
        </w:rPr>
        <w:t xml:space="preserve"> нарушившим </w:t>
      </w:r>
      <w:r w:rsidRPr="007F2E17">
        <w:rPr>
          <w:sz w:val="14"/>
          <w:szCs w:val="28"/>
        </w:rPr>
        <w:t xml:space="preserve">часть 1 статьи 10 </w:t>
      </w:r>
      <w:r w:rsidRPr="007F2E17">
        <w:rPr>
          <w:szCs w:val="28"/>
        </w:rPr>
        <w:t xml:space="preserve">Федерального закона </w:t>
      </w:r>
      <w:r w:rsidRPr="007F2E17">
        <w:rPr>
          <w:sz w:val="12"/>
          <w:szCs w:val="28"/>
        </w:rPr>
        <w:t>от 26.07.2006 № 135-ФЗ</w:t>
      </w:r>
      <w:r w:rsidRPr="007F2E17">
        <w:rPr>
          <w:szCs w:val="28"/>
        </w:rPr>
        <w:t xml:space="preserve"> «О защите конкуренции» и выдать ГУП РО «УРСВ» предписание об устранении нарушения антимонопольного законодательства в течение 20 дневного срока.</w:t>
      </w:r>
    </w:p>
    <w:p w:rsidR="00075D6F" w:rsidRPr="007F2E17" w:rsidRDefault="00075D6F" w:rsidP="00075D6F">
      <w:pPr>
        <w:ind w:firstLine="851"/>
        <w:jc w:val="both"/>
        <w:rPr>
          <w:szCs w:val="28"/>
        </w:rPr>
      </w:pPr>
      <w:r w:rsidRPr="007F2E17">
        <w:rPr>
          <w:szCs w:val="28"/>
        </w:rPr>
        <w:t xml:space="preserve">31 июля ГУП РО «УРСВ» сообщило, что выполнило предписание в части выявления </w:t>
      </w:r>
      <w:proofErr w:type="spellStart"/>
      <w:r w:rsidRPr="007F2E17">
        <w:rPr>
          <w:szCs w:val="28"/>
        </w:rPr>
        <w:t>безхозяйных</w:t>
      </w:r>
      <w:proofErr w:type="spellEnd"/>
      <w:r w:rsidRPr="007F2E17">
        <w:rPr>
          <w:szCs w:val="28"/>
        </w:rPr>
        <w:t xml:space="preserve"> сетей, но просило предоставить еще три месяца, для инициирования процедуры передачи этих сетей в пользование ГУП РО «УРСВ» </w:t>
      </w:r>
    </w:p>
    <w:p w:rsidR="00075D6F" w:rsidRDefault="00075D6F" w:rsidP="00075D6F">
      <w:pPr>
        <w:ind w:firstLine="851"/>
        <w:jc w:val="both"/>
        <w:rPr>
          <w:b/>
          <w:szCs w:val="28"/>
        </w:rPr>
      </w:pPr>
    </w:p>
    <w:p w:rsidR="00075D6F" w:rsidRDefault="00075D6F" w:rsidP="00075D6F">
      <w:pPr>
        <w:ind w:firstLine="851"/>
        <w:jc w:val="both"/>
        <w:rPr>
          <w:b/>
          <w:szCs w:val="28"/>
        </w:rPr>
      </w:pPr>
    </w:p>
    <w:p w:rsidR="00BA0FA1" w:rsidRPr="00BA0FA1" w:rsidRDefault="009F1796" w:rsidP="00075D6F">
      <w:pPr>
        <w:ind w:firstLine="851"/>
        <w:jc w:val="both"/>
        <w:rPr>
          <w:szCs w:val="28"/>
        </w:rPr>
      </w:pPr>
      <w:r w:rsidRPr="00BA0FA1">
        <w:rPr>
          <w:b/>
          <w:szCs w:val="28"/>
        </w:rPr>
        <w:t>2.</w:t>
      </w:r>
      <w:r w:rsidR="00BA0FA1">
        <w:rPr>
          <w:szCs w:val="28"/>
        </w:rPr>
        <w:t xml:space="preserve"> </w:t>
      </w:r>
      <w:r w:rsidR="00BA0FA1" w:rsidRPr="00BA0FA1">
        <w:rPr>
          <w:szCs w:val="28"/>
        </w:rPr>
        <w:t xml:space="preserve">23 июня Арбитражный суд </w:t>
      </w:r>
      <w:proofErr w:type="gramStart"/>
      <w:r w:rsidR="00BA0FA1" w:rsidRPr="00BA0FA1">
        <w:rPr>
          <w:szCs w:val="28"/>
        </w:rPr>
        <w:t>Северо-Кавказского</w:t>
      </w:r>
      <w:proofErr w:type="gramEnd"/>
      <w:r w:rsidR="00BA0FA1" w:rsidRPr="00BA0FA1">
        <w:rPr>
          <w:szCs w:val="28"/>
        </w:rPr>
        <w:t xml:space="preserve"> округа оставил в силе решение и постановление судов предыдущих инстанций, подтвердив законность и обоснованность постановления Ростовского УФАС России о привлечении ПАО «</w:t>
      </w:r>
      <w:proofErr w:type="spellStart"/>
      <w:r w:rsidR="00BA0FA1" w:rsidRPr="00BA0FA1">
        <w:rPr>
          <w:szCs w:val="28"/>
        </w:rPr>
        <w:t>Россети</w:t>
      </w:r>
      <w:proofErr w:type="spellEnd"/>
      <w:r w:rsidR="00BA0FA1" w:rsidRPr="00BA0FA1">
        <w:rPr>
          <w:szCs w:val="28"/>
        </w:rPr>
        <w:t xml:space="preserve"> Юг» (ранее ПАО «МРСК Юга»), нарушившего Правила технологического присоединения энергопринимающих устройств потребителей электрической энергии, к административной ответственности.</w:t>
      </w:r>
    </w:p>
    <w:p w:rsidR="00BA0FA1" w:rsidRPr="00BA0FA1" w:rsidRDefault="00BA0FA1" w:rsidP="00075D6F">
      <w:pPr>
        <w:ind w:firstLine="851"/>
        <w:jc w:val="both"/>
        <w:rPr>
          <w:szCs w:val="28"/>
        </w:rPr>
      </w:pPr>
      <w:r w:rsidRPr="00BA0FA1">
        <w:rPr>
          <w:szCs w:val="28"/>
        </w:rPr>
        <w:t xml:space="preserve">АО направило в адрес ПАО «МРСК Юга» заявление на технологическое присоединение (увеличение мощности) объектов капитального строительства. В </w:t>
      </w:r>
      <w:r w:rsidRPr="00BA0FA1">
        <w:rPr>
          <w:szCs w:val="28"/>
        </w:rPr>
        <w:lastRenderedPageBreak/>
        <w:t>результате компании заключили договор с приложением технических условий подключения.</w:t>
      </w:r>
    </w:p>
    <w:p w:rsidR="00BA0FA1" w:rsidRPr="00BA0FA1" w:rsidRDefault="00BA0FA1" w:rsidP="00075D6F">
      <w:pPr>
        <w:ind w:firstLine="851"/>
        <w:jc w:val="both"/>
        <w:rPr>
          <w:szCs w:val="28"/>
        </w:rPr>
      </w:pPr>
      <w:r w:rsidRPr="00BA0FA1">
        <w:rPr>
          <w:szCs w:val="28"/>
        </w:rPr>
        <w:t>Правонарушение выразилось в том, что ПАО «МРСК Юга» неправомерно обозначило в данных технических условиях обязанность АО «Шахтинский завод гидропривод» по установке устройств контроля величины максимальной мощности, в то время как в соответствии с Правилами технологического присоединения данная обязанность должна быть возложена на сетевую организацию.</w:t>
      </w:r>
    </w:p>
    <w:p w:rsidR="00BA0FA1" w:rsidRPr="00BA0FA1" w:rsidRDefault="00BA0FA1" w:rsidP="00075D6F">
      <w:pPr>
        <w:ind w:firstLine="851"/>
        <w:jc w:val="both"/>
        <w:rPr>
          <w:szCs w:val="28"/>
        </w:rPr>
      </w:pPr>
      <w:r w:rsidRPr="00BA0FA1">
        <w:rPr>
          <w:szCs w:val="28"/>
        </w:rPr>
        <w:t>Таким образом, суд поддержал позицию антимонопольного органа, ПАО «</w:t>
      </w:r>
      <w:proofErr w:type="spellStart"/>
      <w:r w:rsidRPr="00BA0FA1">
        <w:rPr>
          <w:szCs w:val="28"/>
        </w:rPr>
        <w:t>Россети</w:t>
      </w:r>
      <w:proofErr w:type="spellEnd"/>
      <w:r w:rsidRPr="00BA0FA1">
        <w:rPr>
          <w:szCs w:val="28"/>
        </w:rPr>
        <w:t xml:space="preserve"> Юг» заплатит штраф в размере 600 000 рублей.</w:t>
      </w:r>
    </w:p>
    <w:p w:rsidR="00BA0FA1" w:rsidRPr="00224E2E" w:rsidRDefault="00BA0FA1" w:rsidP="00075D6F">
      <w:pPr>
        <w:ind w:firstLine="851"/>
        <w:jc w:val="both"/>
        <w:rPr>
          <w:sz w:val="16"/>
          <w:szCs w:val="28"/>
        </w:rPr>
      </w:pPr>
      <w:r w:rsidRPr="00224E2E">
        <w:rPr>
          <w:i/>
          <w:iCs/>
          <w:sz w:val="16"/>
          <w:szCs w:val="28"/>
        </w:rPr>
        <w:t>Справка:</w:t>
      </w:r>
    </w:p>
    <w:p w:rsidR="00BA0FA1" w:rsidRPr="00224E2E" w:rsidRDefault="00BA0FA1" w:rsidP="00075D6F">
      <w:pPr>
        <w:ind w:firstLine="851"/>
        <w:jc w:val="both"/>
        <w:rPr>
          <w:sz w:val="16"/>
          <w:szCs w:val="28"/>
        </w:rPr>
      </w:pPr>
      <w:r w:rsidRPr="00224E2E">
        <w:rPr>
          <w:i/>
          <w:iCs/>
          <w:sz w:val="16"/>
          <w:szCs w:val="28"/>
        </w:rPr>
        <w:t>Из содержания подпункта "в" пункта 25.1 Правил технологического присоединения</w:t>
      </w:r>
      <w:r w:rsidR="00EB61EA" w:rsidRPr="00224E2E">
        <w:rPr>
          <w:i/>
          <w:iCs/>
          <w:sz w:val="16"/>
          <w:szCs w:val="28"/>
        </w:rPr>
        <w:t xml:space="preserve"> </w:t>
      </w:r>
      <w:r w:rsidRPr="00224E2E">
        <w:rPr>
          <w:i/>
          <w:iCs/>
          <w:sz w:val="16"/>
          <w:szCs w:val="28"/>
        </w:rPr>
        <w:t>следует, что в технических условиях должны быть указаны требования к устройствам контроля величины максимальной мощности, а не обязанность потребителя по их установке. Понятия "учет потребляемой энергии (мощности)" и "контроль величины максимальной мощности" не являются тождественными.</w:t>
      </w:r>
    </w:p>
    <w:p w:rsidR="009F1796" w:rsidRDefault="009F1796" w:rsidP="00075D6F">
      <w:pPr>
        <w:ind w:firstLine="851"/>
        <w:jc w:val="both"/>
        <w:rPr>
          <w:szCs w:val="28"/>
        </w:rPr>
      </w:pPr>
    </w:p>
    <w:p w:rsidR="009F1796" w:rsidRPr="000501FE" w:rsidRDefault="009F1796" w:rsidP="00075D6F">
      <w:pPr>
        <w:ind w:firstLine="851"/>
        <w:jc w:val="both"/>
        <w:rPr>
          <w:szCs w:val="28"/>
        </w:rPr>
      </w:pPr>
      <w:r w:rsidRPr="009F1796">
        <w:rPr>
          <w:b/>
          <w:szCs w:val="28"/>
        </w:rPr>
        <w:t>Пример выданного предупреждения</w:t>
      </w:r>
    </w:p>
    <w:p w:rsidR="009F1796" w:rsidRPr="009F1796" w:rsidRDefault="009F1796" w:rsidP="00075D6F">
      <w:pPr>
        <w:ind w:firstLine="851"/>
        <w:jc w:val="both"/>
        <w:rPr>
          <w:szCs w:val="28"/>
        </w:rPr>
      </w:pPr>
      <w:r>
        <w:rPr>
          <w:szCs w:val="28"/>
        </w:rPr>
        <w:t>Ростовское УФАС России выдало</w:t>
      </w:r>
      <w:r w:rsidRPr="009F1796">
        <w:rPr>
          <w:szCs w:val="28"/>
        </w:rPr>
        <w:t xml:space="preserve"> Администрации г. Таганрога</w:t>
      </w:r>
      <w:r>
        <w:rPr>
          <w:szCs w:val="28"/>
        </w:rPr>
        <w:t xml:space="preserve"> предупреждение</w:t>
      </w:r>
      <w:r w:rsidRPr="009F1796">
        <w:rPr>
          <w:szCs w:val="28"/>
        </w:rPr>
        <w:t xml:space="preserve"> за неправомерное присвоение МУП «Городское хозяйство» статуса единой теплоснабжающей организации (ЕТО).</w:t>
      </w:r>
    </w:p>
    <w:p w:rsidR="009F1796" w:rsidRPr="009F1796" w:rsidRDefault="009F1796" w:rsidP="00075D6F">
      <w:pPr>
        <w:ind w:firstLine="851"/>
        <w:jc w:val="both"/>
        <w:rPr>
          <w:szCs w:val="28"/>
        </w:rPr>
      </w:pPr>
      <w:r w:rsidRPr="009F1796">
        <w:rPr>
          <w:szCs w:val="28"/>
        </w:rPr>
        <w:t>Всё началось с того, что Управление ЖКХ г. Таганрога разместило на официальном портале Администрации города уведомление о приеме заявок на присвоение статуса единой теплоснабжающей организации в зоне № 05. Такие заявки поступили от двух организаций - ООО «ТГК» и МУП «Городское хозяйство». В результате было принято решение о присвоении статуса ЕТО в зоне № 05 муниципальному унитарному предприятию.</w:t>
      </w:r>
    </w:p>
    <w:p w:rsidR="009F1796" w:rsidRPr="009F1796" w:rsidRDefault="009F1796" w:rsidP="00075D6F">
      <w:pPr>
        <w:ind w:firstLine="851"/>
        <w:jc w:val="both"/>
        <w:rPr>
          <w:szCs w:val="28"/>
        </w:rPr>
      </w:pPr>
      <w:r w:rsidRPr="009F1796">
        <w:rPr>
          <w:szCs w:val="28"/>
        </w:rPr>
        <w:t>Однако Администрация г. Таганрога допустила ряд нарушений порядка присвоения статуса единой теплоснабжающей организации, установленного постановлением Правительства Российской Федерации от 08.08.2012 г. № 808.</w:t>
      </w:r>
    </w:p>
    <w:p w:rsidR="009F1796" w:rsidRPr="009F1796" w:rsidRDefault="009F1796" w:rsidP="00075D6F">
      <w:pPr>
        <w:ind w:firstLine="851"/>
        <w:jc w:val="both"/>
        <w:rPr>
          <w:szCs w:val="28"/>
        </w:rPr>
      </w:pPr>
      <w:r w:rsidRPr="009F1796">
        <w:rPr>
          <w:szCs w:val="28"/>
        </w:rPr>
        <w:t>В частности, Ростовское УФАС России установило, что Администрация г. Таганрога приняла решение на основе неверных данных о показателях емкости тепловых сетей МУП «Городское хозяйство», что свидетельствует об ущемлении прав ООО «ТГК», выразившемся в создании препятствий для осуществления деятельности организации на товарном рынке, а значит - о нарушении запрета, предусмотренного ч. 1 ст. 15 закона «О защите конкуренции».</w:t>
      </w:r>
    </w:p>
    <w:p w:rsidR="009F1796" w:rsidRPr="009F1796" w:rsidRDefault="009F1796" w:rsidP="00075D6F">
      <w:pPr>
        <w:ind w:firstLine="851"/>
        <w:jc w:val="both"/>
        <w:rPr>
          <w:szCs w:val="28"/>
        </w:rPr>
      </w:pPr>
      <w:r w:rsidRPr="009F1796">
        <w:rPr>
          <w:szCs w:val="28"/>
        </w:rPr>
        <w:t>Учитывая вышеизложенное, Ростовское УФАС России выдало Администрации г. Таганрога предупреждения об изменении акта, в соответствии с которым МУП «Городское хозяйство» присвоен статус ЕТО, и прекращении бездействия, содержащего признаки нарушения ч. 1 ст. 15 закона «О защите конкуренции».</w:t>
      </w:r>
    </w:p>
    <w:p w:rsidR="009F1796" w:rsidRDefault="009F1796" w:rsidP="00075D6F">
      <w:pPr>
        <w:ind w:firstLine="851"/>
        <w:jc w:val="both"/>
        <w:rPr>
          <w:b/>
          <w:szCs w:val="28"/>
        </w:rPr>
      </w:pPr>
    </w:p>
    <w:p w:rsidR="00224E2E" w:rsidRPr="004E587B" w:rsidRDefault="00224E2E" w:rsidP="009F1796">
      <w:pPr>
        <w:ind w:firstLine="851"/>
        <w:jc w:val="both"/>
        <w:rPr>
          <w:b/>
          <w:szCs w:val="28"/>
          <w:lang w:val="en-US"/>
        </w:rPr>
      </w:pPr>
      <w:bookmarkStart w:id="0" w:name="_GoBack"/>
      <w:bookmarkEnd w:id="0"/>
    </w:p>
    <w:p w:rsidR="00224E2E" w:rsidRPr="009F1796" w:rsidRDefault="00224E2E" w:rsidP="009F1796">
      <w:pPr>
        <w:ind w:firstLine="851"/>
        <w:jc w:val="both"/>
        <w:rPr>
          <w:b/>
          <w:szCs w:val="28"/>
        </w:rPr>
      </w:pPr>
    </w:p>
    <w:sectPr w:rsidR="00224E2E" w:rsidRPr="009F1796" w:rsidSect="00A05EB1">
      <w:headerReference w:type="even" r:id="rId8"/>
      <w:footerReference w:type="even" r:id="rId9"/>
      <w:footerReference w:type="default" r:id="rId10"/>
      <w:pgSz w:w="11906" w:h="16838" w:code="9"/>
      <w:pgMar w:top="720" w:right="720" w:bottom="720" w:left="720"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12" w:rsidRDefault="00CC7F12">
      <w:r>
        <w:separator/>
      </w:r>
    </w:p>
  </w:endnote>
  <w:endnote w:type="continuationSeparator" w:id="0">
    <w:p w:rsidR="00CC7F12" w:rsidRDefault="00CC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B0502040204020203"/>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18" w:rsidRDefault="00EB6618">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EB6618" w:rsidRDefault="00EB6618">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947292"/>
      <w:docPartObj>
        <w:docPartGallery w:val="Page Numbers (Bottom of Page)"/>
        <w:docPartUnique/>
      </w:docPartObj>
    </w:sdtPr>
    <w:sdtEndPr/>
    <w:sdtContent>
      <w:p w:rsidR="00EB6618" w:rsidRDefault="00EB6618">
        <w:pPr>
          <w:pStyle w:val="af1"/>
          <w:jc w:val="center"/>
        </w:pPr>
        <w:r>
          <w:fldChar w:fldCharType="begin"/>
        </w:r>
        <w:r>
          <w:instrText>PAGE   \* MERGEFORMAT</w:instrText>
        </w:r>
        <w:r>
          <w:fldChar w:fldCharType="separate"/>
        </w:r>
        <w:r w:rsidR="004E587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12" w:rsidRDefault="00CC7F12">
      <w:r>
        <w:separator/>
      </w:r>
    </w:p>
  </w:footnote>
  <w:footnote w:type="continuationSeparator" w:id="0">
    <w:p w:rsidR="00CC7F12" w:rsidRDefault="00CC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18" w:rsidRDefault="00EB6618" w:rsidP="00B80E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EB6618" w:rsidRDefault="00EB6618">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3" w15:restartNumberingAfterBreak="0">
    <w:nsid w:val="0E741DC2"/>
    <w:multiLevelType w:val="hybridMultilevel"/>
    <w:tmpl w:val="0122E9A2"/>
    <w:lvl w:ilvl="0" w:tplc="5C0837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B152A7B"/>
    <w:multiLevelType w:val="hybridMultilevel"/>
    <w:tmpl w:val="9B965790"/>
    <w:lvl w:ilvl="0" w:tplc="ADF86DE0">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1"/>
  </w:num>
  <w:num w:numId="3">
    <w:abstractNumId w:val="0"/>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52"/>
    <w:rsid w:val="00000D2B"/>
    <w:rsid w:val="000013D5"/>
    <w:rsid w:val="00004355"/>
    <w:rsid w:val="00010F37"/>
    <w:rsid w:val="0001510C"/>
    <w:rsid w:val="00016282"/>
    <w:rsid w:val="00016502"/>
    <w:rsid w:val="00020C08"/>
    <w:rsid w:val="00026D69"/>
    <w:rsid w:val="00027FE2"/>
    <w:rsid w:val="000328FB"/>
    <w:rsid w:val="00035C46"/>
    <w:rsid w:val="00036B50"/>
    <w:rsid w:val="0004405F"/>
    <w:rsid w:val="000471FC"/>
    <w:rsid w:val="00047BD9"/>
    <w:rsid w:val="000501FE"/>
    <w:rsid w:val="00054749"/>
    <w:rsid w:val="00056A25"/>
    <w:rsid w:val="0006044D"/>
    <w:rsid w:val="00061137"/>
    <w:rsid w:val="00062466"/>
    <w:rsid w:val="00062B2E"/>
    <w:rsid w:val="0006531B"/>
    <w:rsid w:val="00066634"/>
    <w:rsid w:val="000666C0"/>
    <w:rsid w:val="00066820"/>
    <w:rsid w:val="00070486"/>
    <w:rsid w:val="00072E96"/>
    <w:rsid w:val="00073023"/>
    <w:rsid w:val="00073263"/>
    <w:rsid w:val="00075D6F"/>
    <w:rsid w:val="00077069"/>
    <w:rsid w:val="00082D8C"/>
    <w:rsid w:val="000840C1"/>
    <w:rsid w:val="00084F23"/>
    <w:rsid w:val="00091712"/>
    <w:rsid w:val="000A2E72"/>
    <w:rsid w:val="000A44A5"/>
    <w:rsid w:val="000A56CB"/>
    <w:rsid w:val="000B0E22"/>
    <w:rsid w:val="000B2037"/>
    <w:rsid w:val="000B759E"/>
    <w:rsid w:val="000C11F7"/>
    <w:rsid w:val="000C2529"/>
    <w:rsid w:val="000C5485"/>
    <w:rsid w:val="000C64B3"/>
    <w:rsid w:val="000C7F6D"/>
    <w:rsid w:val="000D09E3"/>
    <w:rsid w:val="000D0C86"/>
    <w:rsid w:val="000D10CE"/>
    <w:rsid w:val="000D395F"/>
    <w:rsid w:val="000D4F8C"/>
    <w:rsid w:val="000D6403"/>
    <w:rsid w:val="000D67E7"/>
    <w:rsid w:val="000D6B74"/>
    <w:rsid w:val="000D70C4"/>
    <w:rsid w:val="000D79C1"/>
    <w:rsid w:val="000E0A2A"/>
    <w:rsid w:val="000E26B3"/>
    <w:rsid w:val="000E30E4"/>
    <w:rsid w:val="000E39C4"/>
    <w:rsid w:val="000F315E"/>
    <w:rsid w:val="000F4FAA"/>
    <w:rsid w:val="000F6901"/>
    <w:rsid w:val="000F7C62"/>
    <w:rsid w:val="001048CF"/>
    <w:rsid w:val="001157FD"/>
    <w:rsid w:val="0011594E"/>
    <w:rsid w:val="00116509"/>
    <w:rsid w:val="001177FB"/>
    <w:rsid w:val="00117982"/>
    <w:rsid w:val="00121678"/>
    <w:rsid w:val="00122A74"/>
    <w:rsid w:val="00123A5B"/>
    <w:rsid w:val="001262BB"/>
    <w:rsid w:val="00127A11"/>
    <w:rsid w:val="001332F7"/>
    <w:rsid w:val="001478D5"/>
    <w:rsid w:val="001512C9"/>
    <w:rsid w:val="001518DB"/>
    <w:rsid w:val="00157CB4"/>
    <w:rsid w:val="00162579"/>
    <w:rsid w:val="00162DAD"/>
    <w:rsid w:val="00163661"/>
    <w:rsid w:val="00163C9F"/>
    <w:rsid w:val="00166E87"/>
    <w:rsid w:val="00167F36"/>
    <w:rsid w:val="00171911"/>
    <w:rsid w:val="00174CDA"/>
    <w:rsid w:val="00175F78"/>
    <w:rsid w:val="001815A8"/>
    <w:rsid w:val="0018426C"/>
    <w:rsid w:val="001865CB"/>
    <w:rsid w:val="00194A12"/>
    <w:rsid w:val="001960CA"/>
    <w:rsid w:val="001A1232"/>
    <w:rsid w:val="001A133B"/>
    <w:rsid w:val="001A278C"/>
    <w:rsid w:val="001A4A44"/>
    <w:rsid w:val="001B0A66"/>
    <w:rsid w:val="001B1E50"/>
    <w:rsid w:val="001B5C79"/>
    <w:rsid w:val="001B6B32"/>
    <w:rsid w:val="001C15E2"/>
    <w:rsid w:val="001C4D6F"/>
    <w:rsid w:val="001C66D8"/>
    <w:rsid w:val="001D230F"/>
    <w:rsid w:val="001D37A9"/>
    <w:rsid w:val="001D6BC4"/>
    <w:rsid w:val="001E192E"/>
    <w:rsid w:val="001E29CB"/>
    <w:rsid w:val="001E355D"/>
    <w:rsid w:val="001E5058"/>
    <w:rsid w:val="001F2043"/>
    <w:rsid w:val="001F7E08"/>
    <w:rsid w:val="002019D9"/>
    <w:rsid w:val="00201FA3"/>
    <w:rsid w:val="0020231D"/>
    <w:rsid w:val="00204A09"/>
    <w:rsid w:val="00205BDF"/>
    <w:rsid w:val="00206A34"/>
    <w:rsid w:val="00211D76"/>
    <w:rsid w:val="002126BE"/>
    <w:rsid w:val="00212BC8"/>
    <w:rsid w:val="00212E4E"/>
    <w:rsid w:val="00213226"/>
    <w:rsid w:val="002146AD"/>
    <w:rsid w:val="00217F5A"/>
    <w:rsid w:val="00220C3B"/>
    <w:rsid w:val="00224E2E"/>
    <w:rsid w:val="002264D3"/>
    <w:rsid w:val="002275F9"/>
    <w:rsid w:val="00227CF8"/>
    <w:rsid w:val="00227F26"/>
    <w:rsid w:val="00230532"/>
    <w:rsid w:val="00232D34"/>
    <w:rsid w:val="00236B29"/>
    <w:rsid w:val="00241A5D"/>
    <w:rsid w:val="00241FDA"/>
    <w:rsid w:val="002450EF"/>
    <w:rsid w:val="00245CC3"/>
    <w:rsid w:val="0025063B"/>
    <w:rsid w:val="00251F9C"/>
    <w:rsid w:val="002553A5"/>
    <w:rsid w:val="002555CB"/>
    <w:rsid w:val="00255887"/>
    <w:rsid w:val="00256597"/>
    <w:rsid w:val="0026152D"/>
    <w:rsid w:val="00263133"/>
    <w:rsid w:val="002636FC"/>
    <w:rsid w:val="002642C4"/>
    <w:rsid w:val="0026628B"/>
    <w:rsid w:val="00270EFB"/>
    <w:rsid w:val="00271C48"/>
    <w:rsid w:val="00275530"/>
    <w:rsid w:val="0027601C"/>
    <w:rsid w:val="002768B3"/>
    <w:rsid w:val="00277FCC"/>
    <w:rsid w:val="002800E6"/>
    <w:rsid w:val="0028065C"/>
    <w:rsid w:val="00284343"/>
    <w:rsid w:val="00285DEA"/>
    <w:rsid w:val="00291304"/>
    <w:rsid w:val="002922FA"/>
    <w:rsid w:val="002954B8"/>
    <w:rsid w:val="002976E9"/>
    <w:rsid w:val="002A15C0"/>
    <w:rsid w:val="002A2FAF"/>
    <w:rsid w:val="002A33C4"/>
    <w:rsid w:val="002A4725"/>
    <w:rsid w:val="002A53DD"/>
    <w:rsid w:val="002A6C46"/>
    <w:rsid w:val="002B2AF3"/>
    <w:rsid w:val="002B2F20"/>
    <w:rsid w:val="002B3533"/>
    <w:rsid w:val="002B78CB"/>
    <w:rsid w:val="002C4FAC"/>
    <w:rsid w:val="002C661D"/>
    <w:rsid w:val="002D30B7"/>
    <w:rsid w:val="002D4537"/>
    <w:rsid w:val="002E556C"/>
    <w:rsid w:val="002F0F1C"/>
    <w:rsid w:val="002F2320"/>
    <w:rsid w:val="002F2F1E"/>
    <w:rsid w:val="002F3E8F"/>
    <w:rsid w:val="00302765"/>
    <w:rsid w:val="0030434D"/>
    <w:rsid w:val="00314F24"/>
    <w:rsid w:val="00322009"/>
    <w:rsid w:val="003232EC"/>
    <w:rsid w:val="003234F0"/>
    <w:rsid w:val="00323B55"/>
    <w:rsid w:val="00325174"/>
    <w:rsid w:val="00325E5A"/>
    <w:rsid w:val="003302E5"/>
    <w:rsid w:val="00331017"/>
    <w:rsid w:val="003331AD"/>
    <w:rsid w:val="00333272"/>
    <w:rsid w:val="00334655"/>
    <w:rsid w:val="00334DBC"/>
    <w:rsid w:val="00335379"/>
    <w:rsid w:val="003377E2"/>
    <w:rsid w:val="00337892"/>
    <w:rsid w:val="003440D5"/>
    <w:rsid w:val="00347038"/>
    <w:rsid w:val="00352E1B"/>
    <w:rsid w:val="00355818"/>
    <w:rsid w:val="003645BA"/>
    <w:rsid w:val="00370E6F"/>
    <w:rsid w:val="003711A4"/>
    <w:rsid w:val="0037144E"/>
    <w:rsid w:val="003729EB"/>
    <w:rsid w:val="00373680"/>
    <w:rsid w:val="00375A05"/>
    <w:rsid w:val="0038075F"/>
    <w:rsid w:val="00380AC6"/>
    <w:rsid w:val="00381131"/>
    <w:rsid w:val="003813CA"/>
    <w:rsid w:val="00382893"/>
    <w:rsid w:val="00383C0A"/>
    <w:rsid w:val="00386C1D"/>
    <w:rsid w:val="003904BD"/>
    <w:rsid w:val="00390EAD"/>
    <w:rsid w:val="003940F3"/>
    <w:rsid w:val="00395EB0"/>
    <w:rsid w:val="00396A5C"/>
    <w:rsid w:val="003A1C17"/>
    <w:rsid w:val="003A358E"/>
    <w:rsid w:val="003B150A"/>
    <w:rsid w:val="003B442B"/>
    <w:rsid w:val="003B5B25"/>
    <w:rsid w:val="003B61B7"/>
    <w:rsid w:val="003B755D"/>
    <w:rsid w:val="003D1DB2"/>
    <w:rsid w:val="003D458D"/>
    <w:rsid w:val="003D6C32"/>
    <w:rsid w:val="003D6ED6"/>
    <w:rsid w:val="003D7DC2"/>
    <w:rsid w:val="003E03FB"/>
    <w:rsid w:val="003E1C56"/>
    <w:rsid w:val="003E3357"/>
    <w:rsid w:val="003E5BBC"/>
    <w:rsid w:val="003E68B0"/>
    <w:rsid w:val="003E69C8"/>
    <w:rsid w:val="003E6FB1"/>
    <w:rsid w:val="003F025D"/>
    <w:rsid w:val="003F2226"/>
    <w:rsid w:val="003F2E38"/>
    <w:rsid w:val="003F364C"/>
    <w:rsid w:val="003F4E8A"/>
    <w:rsid w:val="003F55DC"/>
    <w:rsid w:val="003F7AAA"/>
    <w:rsid w:val="00401098"/>
    <w:rsid w:val="00403EC8"/>
    <w:rsid w:val="00407A25"/>
    <w:rsid w:val="00414120"/>
    <w:rsid w:val="00417436"/>
    <w:rsid w:val="00422F09"/>
    <w:rsid w:val="00423C99"/>
    <w:rsid w:val="004276F3"/>
    <w:rsid w:val="004305B1"/>
    <w:rsid w:val="00434A75"/>
    <w:rsid w:val="00436235"/>
    <w:rsid w:val="0043740C"/>
    <w:rsid w:val="00440375"/>
    <w:rsid w:val="00445275"/>
    <w:rsid w:val="00447E04"/>
    <w:rsid w:val="00450939"/>
    <w:rsid w:val="004569BB"/>
    <w:rsid w:val="0045775E"/>
    <w:rsid w:val="004620D1"/>
    <w:rsid w:val="004623F4"/>
    <w:rsid w:val="0046250E"/>
    <w:rsid w:val="004626E2"/>
    <w:rsid w:val="00466FC4"/>
    <w:rsid w:val="00467E27"/>
    <w:rsid w:val="004730F7"/>
    <w:rsid w:val="00475158"/>
    <w:rsid w:val="00475F5C"/>
    <w:rsid w:val="004762A5"/>
    <w:rsid w:val="00486672"/>
    <w:rsid w:val="00487AD1"/>
    <w:rsid w:val="0049059F"/>
    <w:rsid w:val="0049323D"/>
    <w:rsid w:val="004952FF"/>
    <w:rsid w:val="004954D1"/>
    <w:rsid w:val="004A28AB"/>
    <w:rsid w:val="004A2B6B"/>
    <w:rsid w:val="004A5BF0"/>
    <w:rsid w:val="004B0876"/>
    <w:rsid w:val="004B0F3D"/>
    <w:rsid w:val="004B458D"/>
    <w:rsid w:val="004B4659"/>
    <w:rsid w:val="004B54AF"/>
    <w:rsid w:val="004B5702"/>
    <w:rsid w:val="004B5F7A"/>
    <w:rsid w:val="004B67A9"/>
    <w:rsid w:val="004C20A6"/>
    <w:rsid w:val="004C38A7"/>
    <w:rsid w:val="004C4BDE"/>
    <w:rsid w:val="004D1083"/>
    <w:rsid w:val="004D3F06"/>
    <w:rsid w:val="004D50F9"/>
    <w:rsid w:val="004E587B"/>
    <w:rsid w:val="004F3CF9"/>
    <w:rsid w:val="004F4A4B"/>
    <w:rsid w:val="004F7E35"/>
    <w:rsid w:val="00500681"/>
    <w:rsid w:val="005021ED"/>
    <w:rsid w:val="00503562"/>
    <w:rsid w:val="005045DC"/>
    <w:rsid w:val="00505611"/>
    <w:rsid w:val="005071B0"/>
    <w:rsid w:val="005117F7"/>
    <w:rsid w:val="00512AEC"/>
    <w:rsid w:val="00513592"/>
    <w:rsid w:val="00514FFC"/>
    <w:rsid w:val="0051543C"/>
    <w:rsid w:val="00515E6A"/>
    <w:rsid w:val="0052068C"/>
    <w:rsid w:val="00520B79"/>
    <w:rsid w:val="00521E0C"/>
    <w:rsid w:val="00530C91"/>
    <w:rsid w:val="00536E25"/>
    <w:rsid w:val="005416C7"/>
    <w:rsid w:val="0055004F"/>
    <w:rsid w:val="005502E3"/>
    <w:rsid w:val="00551656"/>
    <w:rsid w:val="005525C8"/>
    <w:rsid w:val="005539F2"/>
    <w:rsid w:val="00554128"/>
    <w:rsid w:val="005603CB"/>
    <w:rsid w:val="00564C1E"/>
    <w:rsid w:val="00565ED0"/>
    <w:rsid w:val="00565F4D"/>
    <w:rsid w:val="0056724E"/>
    <w:rsid w:val="005676DD"/>
    <w:rsid w:val="00571297"/>
    <w:rsid w:val="00571EAF"/>
    <w:rsid w:val="0057369B"/>
    <w:rsid w:val="00575A59"/>
    <w:rsid w:val="00577412"/>
    <w:rsid w:val="005776CD"/>
    <w:rsid w:val="00577EBA"/>
    <w:rsid w:val="00584037"/>
    <w:rsid w:val="00587CE2"/>
    <w:rsid w:val="00587E30"/>
    <w:rsid w:val="0059182F"/>
    <w:rsid w:val="005965C7"/>
    <w:rsid w:val="00597D62"/>
    <w:rsid w:val="005A3A6D"/>
    <w:rsid w:val="005B0E19"/>
    <w:rsid w:val="005B0F95"/>
    <w:rsid w:val="005B24FB"/>
    <w:rsid w:val="005B441F"/>
    <w:rsid w:val="005B520F"/>
    <w:rsid w:val="005B5C33"/>
    <w:rsid w:val="005C0902"/>
    <w:rsid w:val="005C2A2F"/>
    <w:rsid w:val="005C3CBA"/>
    <w:rsid w:val="005D3EE4"/>
    <w:rsid w:val="005D5BC1"/>
    <w:rsid w:val="005E147A"/>
    <w:rsid w:val="005E2F49"/>
    <w:rsid w:val="005F714C"/>
    <w:rsid w:val="00603806"/>
    <w:rsid w:val="00605E32"/>
    <w:rsid w:val="00613A6B"/>
    <w:rsid w:val="006202CF"/>
    <w:rsid w:val="00622D39"/>
    <w:rsid w:val="00633A3D"/>
    <w:rsid w:val="006354CD"/>
    <w:rsid w:val="00640342"/>
    <w:rsid w:val="0064136C"/>
    <w:rsid w:val="0064437F"/>
    <w:rsid w:val="006462EC"/>
    <w:rsid w:val="006473EE"/>
    <w:rsid w:val="00647D20"/>
    <w:rsid w:val="00652BBB"/>
    <w:rsid w:val="006669E8"/>
    <w:rsid w:val="006733B5"/>
    <w:rsid w:val="00674C85"/>
    <w:rsid w:val="006766CF"/>
    <w:rsid w:val="006805E9"/>
    <w:rsid w:val="006808A9"/>
    <w:rsid w:val="006825EF"/>
    <w:rsid w:val="006876D2"/>
    <w:rsid w:val="00687D5F"/>
    <w:rsid w:val="00695BE8"/>
    <w:rsid w:val="00696131"/>
    <w:rsid w:val="006A1201"/>
    <w:rsid w:val="006A3D2C"/>
    <w:rsid w:val="006A49EE"/>
    <w:rsid w:val="006A4EB8"/>
    <w:rsid w:val="006B2BA3"/>
    <w:rsid w:val="006C43E5"/>
    <w:rsid w:val="006C65D5"/>
    <w:rsid w:val="006D09B7"/>
    <w:rsid w:val="006D3819"/>
    <w:rsid w:val="006E7AD6"/>
    <w:rsid w:val="006F0AA8"/>
    <w:rsid w:val="006F2C3F"/>
    <w:rsid w:val="006F4ED4"/>
    <w:rsid w:val="006F6966"/>
    <w:rsid w:val="00701287"/>
    <w:rsid w:val="00704353"/>
    <w:rsid w:val="00705ED0"/>
    <w:rsid w:val="0071361A"/>
    <w:rsid w:val="00714EA5"/>
    <w:rsid w:val="00716DA6"/>
    <w:rsid w:val="00717E72"/>
    <w:rsid w:val="007228D6"/>
    <w:rsid w:val="00723A79"/>
    <w:rsid w:val="00725010"/>
    <w:rsid w:val="007253C4"/>
    <w:rsid w:val="00727AE7"/>
    <w:rsid w:val="00730735"/>
    <w:rsid w:val="00732888"/>
    <w:rsid w:val="0073296E"/>
    <w:rsid w:val="00732DDC"/>
    <w:rsid w:val="007348A8"/>
    <w:rsid w:val="007375C4"/>
    <w:rsid w:val="00742EE2"/>
    <w:rsid w:val="007440BB"/>
    <w:rsid w:val="00745399"/>
    <w:rsid w:val="00750773"/>
    <w:rsid w:val="00753C00"/>
    <w:rsid w:val="00754C4D"/>
    <w:rsid w:val="00755D57"/>
    <w:rsid w:val="007568F2"/>
    <w:rsid w:val="00756F8A"/>
    <w:rsid w:val="00756FAD"/>
    <w:rsid w:val="007577EF"/>
    <w:rsid w:val="00762E8C"/>
    <w:rsid w:val="007707D8"/>
    <w:rsid w:val="00772672"/>
    <w:rsid w:val="00772764"/>
    <w:rsid w:val="00775D9C"/>
    <w:rsid w:val="007819A9"/>
    <w:rsid w:val="00783093"/>
    <w:rsid w:val="007842E0"/>
    <w:rsid w:val="007A0AFD"/>
    <w:rsid w:val="007A1C55"/>
    <w:rsid w:val="007A751F"/>
    <w:rsid w:val="007B0C4F"/>
    <w:rsid w:val="007B2AAA"/>
    <w:rsid w:val="007C34E5"/>
    <w:rsid w:val="007C6A40"/>
    <w:rsid w:val="007D422A"/>
    <w:rsid w:val="007E441A"/>
    <w:rsid w:val="007E52CC"/>
    <w:rsid w:val="007F0622"/>
    <w:rsid w:val="007F458A"/>
    <w:rsid w:val="007F6C96"/>
    <w:rsid w:val="00801F4D"/>
    <w:rsid w:val="008031D8"/>
    <w:rsid w:val="00803C31"/>
    <w:rsid w:val="00804179"/>
    <w:rsid w:val="008056E8"/>
    <w:rsid w:val="00805FED"/>
    <w:rsid w:val="008066DD"/>
    <w:rsid w:val="00806774"/>
    <w:rsid w:val="00807521"/>
    <w:rsid w:val="00811471"/>
    <w:rsid w:val="008117E9"/>
    <w:rsid w:val="00813368"/>
    <w:rsid w:val="00813F1F"/>
    <w:rsid w:val="00826342"/>
    <w:rsid w:val="00833073"/>
    <w:rsid w:val="00835978"/>
    <w:rsid w:val="008363A2"/>
    <w:rsid w:val="0084461A"/>
    <w:rsid w:val="00846C1E"/>
    <w:rsid w:val="0084763B"/>
    <w:rsid w:val="008502C7"/>
    <w:rsid w:val="00851D4F"/>
    <w:rsid w:val="0085279B"/>
    <w:rsid w:val="00852D36"/>
    <w:rsid w:val="00853F8D"/>
    <w:rsid w:val="00862E7D"/>
    <w:rsid w:val="008639EC"/>
    <w:rsid w:val="00865E74"/>
    <w:rsid w:val="00876082"/>
    <w:rsid w:val="008765BA"/>
    <w:rsid w:val="00876940"/>
    <w:rsid w:val="00883530"/>
    <w:rsid w:val="00885F7D"/>
    <w:rsid w:val="00886C5D"/>
    <w:rsid w:val="00887862"/>
    <w:rsid w:val="00887F36"/>
    <w:rsid w:val="0089026F"/>
    <w:rsid w:val="0089155D"/>
    <w:rsid w:val="00891DEF"/>
    <w:rsid w:val="00893DB7"/>
    <w:rsid w:val="008943C1"/>
    <w:rsid w:val="00895A08"/>
    <w:rsid w:val="00895F20"/>
    <w:rsid w:val="008968AD"/>
    <w:rsid w:val="008A0975"/>
    <w:rsid w:val="008A278C"/>
    <w:rsid w:val="008A532D"/>
    <w:rsid w:val="008B4C70"/>
    <w:rsid w:val="008C1207"/>
    <w:rsid w:val="008C34A1"/>
    <w:rsid w:val="008C43BE"/>
    <w:rsid w:val="008C6C05"/>
    <w:rsid w:val="008C6DF7"/>
    <w:rsid w:val="008D01C6"/>
    <w:rsid w:val="008D2A8D"/>
    <w:rsid w:val="008D3BA9"/>
    <w:rsid w:val="008E0AC3"/>
    <w:rsid w:val="008E2472"/>
    <w:rsid w:val="008E54A3"/>
    <w:rsid w:val="008E63AE"/>
    <w:rsid w:val="008E6403"/>
    <w:rsid w:val="008E6A07"/>
    <w:rsid w:val="008E74AE"/>
    <w:rsid w:val="008F10F3"/>
    <w:rsid w:val="008F2420"/>
    <w:rsid w:val="008F3C5B"/>
    <w:rsid w:val="008F3C69"/>
    <w:rsid w:val="008F5395"/>
    <w:rsid w:val="008F55B5"/>
    <w:rsid w:val="00900479"/>
    <w:rsid w:val="00903B93"/>
    <w:rsid w:val="00904129"/>
    <w:rsid w:val="009041C0"/>
    <w:rsid w:val="0090663A"/>
    <w:rsid w:val="009073E4"/>
    <w:rsid w:val="00912B3C"/>
    <w:rsid w:val="009160AF"/>
    <w:rsid w:val="00921D55"/>
    <w:rsid w:val="009234BA"/>
    <w:rsid w:val="00926CDC"/>
    <w:rsid w:val="00926F59"/>
    <w:rsid w:val="00927355"/>
    <w:rsid w:val="0092756A"/>
    <w:rsid w:val="00930741"/>
    <w:rsid w:val="00930B7B"/>
    <w:rsid w:val="0093749F"/>
    <w:rsid w:val="00937C82"/>
    <w:rsid w:val="00937E00"/>
    <w:rsid w:val="00940AF4"/>
    <w:rsid w:val="00941475"/>
    <w:rsid w:val="0094530A"/>
    <w:rsid w:val="00947574"/>
    <w:rsid w:val="009503CA"/>
    <w:rsid w:val="0095173F"/>
    <w:rsid w:val="00955700"/>
    <w:rsid w:val="00955FF9"/>
    <w:rsid w:val="00956F52"/>
    <w:rsid w:val="00957E73"/>
    <w:rsid w:val="009667B8"/>
    <w:rsid w:val="00970BD0"/>
    <w:rsid w:val="00971132"/>
    <w:rsid w:val="00972307"/>
    <w:rsid w:val="00974B9F"/>
    <w:rsid w:val="00977203"/>
    <w:rsid w:val="009805D3"/>
    <w:rsid w:val="0098373A"/>
    <w:rsid w:val="00986F3B"/>
    <w:rsid w:val="0099376D"/>
    <w:rsid w:val="009944AA"/>
    <w:rsid w:val="00995879"/>
    <w:rsid w:val="00995CB3"/>
    <w:rsid w:val="0099768C"/>
    <w:rsid w:val="00997E80"/>
    <w:rsid w:val="009A01BB"/>
    <w:rsid w:val="009A09A6"/>
    <w:rsid w:val="009A2412"/>
    <w:rsid w:val="009A3758"/>
    <w:rsid w:val="009A6010"/>
    <w:rsid w:val="009A6859"/>
    <w:rsid w:val="009A795E"/>
    <w:rsid w:val="009A7F90"/>
    <w:rsid w:val="009B0118"/>
    <w:rsid w:val="009B02F1"/>
    <w:rsid w:val="009B0C1B"/>
    <w:rsid w:val="009B20C6"/>
    <w:rsid w:val="009B7D13"/>
    <w:rsid w:val="009C4DAF"/>
    <w:rsid w:val="009C56C1"/>
    <w:rsid w:val="009D149C"/>
    <w:rsid w:val="009D1585"/>
    <w:rsid w:val="009D18A0"/>
    <w:rsid w:val="009E13C4"/>
    <w:rsid w:val="009E3BF7"/>
    <w:rsid w:val="009E4E18"/>
    <w:rsid w:val="009E565C"/>
    <w:rsid w:val="009E5CB2"/>
    <w:rsid w:val="009F0FFB"/>
    <w:rsid w:val="009F1796"/>
    <w:rsid w:val="009F2037"/>
    <w:rsid w:val="009F24CC"/>
    <w:rsid w:val="009F3659"/>
    <w:rsid w:val="009F4651"/>
    <w:rsid w:val="009F58A5"/>
    <w:rsid w:val="00A01983"/>
    <w:rsid w:val="00A02FF1"/>
    <w:rsid w:val="00A05EB1"/>
    <w:rsid w:val="00A07E6C"/>
    <w:rsid w:val="00A118EC"/>
    <w:rsid w:val="00A13949"/>
    <w:rsid w:val="00A15DE3"/>
    <w:rsid w:val="00A23948"/>
    <w:rsid w:val="00A253EF"/>
    <w:rsid w:val="00A32443"/>
    <w:rsid w:val="00A3294E"/>
    <w:rsid w:val="00A3791C"/>
    <w:rsid w:val="00A41155"/>
    <w:rsid w:val="00A41231"/>
    <w:rsid w:val="00A41AA1"/>
    <w:rsid w:val="00A431C7"/>
    <w:rsid w:val="00A436B5"/>
    <w:rsid w:val="00A454C5"/>
    <w:rsid w:val="00A5243B"/>
    <w:rsid w:val="00A546FE"/>
    <w:rsid w:val="00A55997"/>
    <w:rsid w:val="00A57D1B"/>
    <w:rsid w:val="00A6108B"/>
    <w:rsid w:val="00A62F71"/>
    <w:rsid w:val="00A652C0"/>
    <w:rsid w:val="00A66F0D"/>
    <w:rsid w:val="00A70131"/>
    <w:rsid w:val="00A707DD"/>
    <w:rsid w:val="00A74066"/>
    <w:rsid w:val="00A817EA"/>
    <w:rsid w:val="00A840D1"/>
    <w:rsid w:val="00A86985"/>
    <w:rsid w:val="00A9257F"/>
    <w:rsid w:val="00A93CF3"/>
    <w:rsid w:val="00A93DD7"/>
    <w:rsid w:val="00A9419C"/>
    <w:rsid w:val="00A9737D"/>
    <w:rsid w:val="00AA1C91"/>
    <w:rsid w:val="00AA3451"/>
    <w:rsid w:val="00AB4A73"/>
    <w:rsid w:val="00AB6234"/>
    <w:rsid w:val="00AB623F"/>
    <w:rsid w:val="00AB72D6"/>
    <w:rsid w:val="00AC62AC"/>
    <w:rsid w:val="00AC6BE4"/>
    <w:rsid w:val="00AC7363"/>
    <w:rsid w:val="00AD784D"/>
    <w:rsid w:val="00AD7952"/>
    <w:rsid w:val="00AD79C0"/>
    <w:rsid w:val="00AE2849"/>
    <w:rsid w:val="00AE30AD"/>
    <w:rsid w:val="00AE610E"/>
    <w:rsid w:val="00AE74D3"/>
    <w:rsid w:val="00AE7A18"/>
    <w:rsid w:val="00AF252F"/>
    <w:rsid w:val="00B0116B"/>
    <w:rsid w:val="00B019D2"/>
    <w:rsid w:val="00B02BCC"/>
    <w:rsid w:val="00B03DE4"/>
    <w:rsid w:val="00B041CA"/>
    <w:rsid w:val="00B04893"/>
    <w:rsid w:val="00B05750"/>
    <w:rsid w:val="00B1204F"/>
    <w:rsid w:val="00B16D87"/>
    <w:rsid w:val="00B20FFB"/>
    <w:rsid w:val="00B22CB2"/>
    <w:rsid w:val="00B2324F"/>
    <w:rsid w:val="00B26734"/>
    <w:rsid w:val="00B273E8"/>
    <w:rsid w:val="00B2747C"/>
    <w:rsid w:val="00B31398"/>
    <w:rsid w:val="00B363D6"/>
    <w:rsid w:val="00B36F98"/>
    <w:rsid w:val="00B40590"/>
    <w:rsid w:val="00B41ECB"/>
    <w:rsid w:val="00B429F0"/>
    <w:rsid w:val="00B43D82"/>
    <w:rsid w:val="00B50F70"/>
    <w:rsid w:val="00B519BB"/>
    <w:rsid w:val="00B53500"/>
    <w:rsid w:val="00B6591B"/>
    <w:rsid w:val="00B73876"/>
    <w:rsid w:val="00B745EB"/>
    <w:rsid w:val="00B80E2E"/>
    <w:rsid w:val="00B8186E"/>
    <w:rsid w:val="00B8197D"/>
    <w:rsid w:val="00B830C6"/>
    <w:rsid w:val="00B83220"/>
    <w:rsid w:val="00B86327"/>
    <w:rsid w:val="00B86896"/>
    <w:rsid w:val="00B86B10"/>
    <w:rsid w:val="00B8708A"/>
    <w:rsid w:val="00B933D0"/>
    <w:rsid w:val="00B9375F"/>
    <w:rsid w:val="00B95086"/>
    <w:rsid w:val="00B9611C"/>
    <w:rsid w:val="00B97807"/>
    <w:rsid w:val="00BA0FA1"/>
    <w:rsid w:val="00BA2DD9"/>
    <w:rsid w:val="00BB0DAD"/>
    <w:rsid w:val="00BB4C9F"/>
    <w:rsid w:val="00BB5506"/>
    <w:rsid w:val="00BB7223"/>
    <w:rsid w:val="00BC03D8"/>
    <w:rsid w:val="00BC09B6"/>
    <w:rsid w:val="00BC0EC6"/>
    <w:rsid w:val="00BC1138"/>
    <w:rsid w:val="00BC32C9"/>
    <w:rsid w:val="00BC77D6"/>
    <w:rsid w:val="00BD2F84"/>
    <w:rsid w:val="00BD5A6D"/>
    <w:rsid w:val="00BD6355"/>
    <w:rsid w:val="00BD6BFF"/>
    <w:rsid w:val="00BD6D45"/>
    <w:rsid w:val="00BE0C05"/>
    <w:rsid w:val="00BE170C"/>
    <w:rsid w:val="00BE21B5"/>
    <w:rsid w:val="00BE26D8"/>
    <w:rsid w:val="00BE2E4A"/>
    <w:rsid w:val="00BE3228"/>
    <w:rsid w:val="00BE594A"/>
    <w:rsid w:val="00BE6519"/>
    <w:rsid w:val="00BF0EC9"/>
    <w:rsid w:val="00BF19FF"/>
    <w:rsid w:val="00BF60D0"/>
    <w:rsid w:val="00C00CBF"/>
    <w:rsid w:val="00C0154E"/>
    <w:rsid w:val="00C01E85"/>
    <w:rsid w:val="00C0227D"/>
    <w:rsid w:val="00C1086E"/>
    <w:rsid w:val="00C10CE6"/>
    <w:rsid w:val="00C1113B"/>
    <w:rsid w:val="00C1317E"/>
    <w:rsid w:val="00C132ED"/>
    <w:rsid w:val="00C15BC9"/>
    <w:rsid w:val="00C16DD1"/>
    <w:rsid w:val="00C2331E"/>
    <w:rsid w:val="00C25937"/>
    <w:rsid w:val="00C26D14"/>
    <w:rsid w:val="00C302F3"/>
    <w:rsid w:val="00C30FBE"/>
    <w:rsid w:val="00C35540"/>
    <w:rsid w:val="00C35AE2"/>
    <w:rsid w:val="00C36D73"/>
    <w:rsid w:val="00C4153D"/>
    <w:rsid w:val="00C43487"/>
    <w:rsid w:val="00C52DE4"/>
    <w:rsid w:val="00C556A4"/>
    <w:rsid w:val="00C56211"/>
    <w:rsid w:val="00C56AAE"/>
    <w:rsid w:val="00C607E1"/>
    <w:rsid w:val="00C636F2"/>
    <w:rsid w:val="00C64C1C"/>
    <w:rsid w:val="00C709AB"/>
    <w:rsid w:val="00C70FF3"/>
    <w:rsid w:val="00C731CB"/>
    <w:rsid w:val="00C741F5"/>
    <w:rsid w:val="00C7551B"/>
    <w:rsid w:val="00C81BCB"/>
    <w:rsid w:val="00C83E9F"/>
    <w:rsid w:val="00C84798"/>
    <w:rsid w:val="00C90275"/>
    <w:rsid w:val="00C91F8E"/>
    <w:rsid w:val="00C934BC"/>
    <w:rsid w:val="00C942BD"/>
    <w:rsid w:val="00C967B3"/>
    <w:rsid w:val="00C97E8D"/>
    <w:rsid w:val="00C97F27"/>
    <w:rsid w:val="00CA12FA"/>
    <w:rsid w:val="00CA396A"/>
    <w:rsid w:val="00CA7F83"/>
    <w:rsid w:val="00CB2FB4"/>
    <w:rsid w:val="00CB3B53"/>
    <w:rsid w:val="00CB467F"/>
    <w:rsid w:val="00CB6902"/>
    <w:rsid w:val="00CB7668"/>
    <w:rsid w:val="00CC243C"/>
    <w:rsid w:val="00CC7CFB"/>
    <w:rsid w:val="00CC7F12"/>
    <w:rsid w:val="00CD3ED4"/>
    <w:rsid w:val="00CD4DDF"/>
    <w:rsid w:val="00CD5052"/>
    <w:rsid w:val="00CE2575"/>
    <w:rsid w:val="00CE3FE1"/>
    <w:rsid w:val="00CF3F0E"/>
    <w:rsid w:val="00CF4CFD"/>
    <w:rsid w:val="00D030F5"/>
    <w:rsid w:val="00D07397"/>
    <w:rsid w:val="00D1389F"/>
    <w:rsid w:val="00D16BB6"/>
    <w:rsid w:val="00D22B2B"/>
    <w:rsid w:val="00D235D2"/>
    <w:rsid w:val="00D2437F"/>
    <w:rsid w:val="00D24EB4"/>
    <w:rsid w:val="00D25B33"/>
    <w:rsid w:val="00D36530"/>
    <w:rsid w:val="00D37331"/>
    <w:rsid w:val="00D37F6B"/>
    <w:rsid w:val="00D43526"/>
    <w:rsid w:val="00D44847"/>
    <w:rsid w:val="00D479F9"/>
    <w:rsid w:val="00D52BB6"/>
    <w:rsid w:val="00D53521"/>
    <w:rsid w:val="00D60A4A"/>
    <w:rsid w:val="00D6335E"/>
    <w:rsid w:val="00D6792C"/>
    <w:rsid w:val="00D71440"/>
    <w:rsid w:val="00D74AD2"/>
    <w:rsid w:val="00D83D90"/>
    <w:rsid w:val="00D859EE"/>
    <w:rsid w:val="00D85AC7"/>
    <w:rsid w:val="00D86187"/>
    <w:rsid w:val="00D8798B"/>
    <w:rsid w:val="00D9053F"/>
    <w:rsid w:val="00D914B5"/>
    <w:rsid w:val="00D917BB"/>
    <w:rsid w:val="00D925EC"/>
    <w:rsid w:val="00D94D16"/>
    <w:rsid w:val="00D9587E"/>
    <w:rsid w:val="00D9674C"/>
    <w:rsid w:val="00D96A86"/>
    <w:rsid w:val="00D979BF"/>
    <w:rsid w:val="00DA398D"/>
    <w:rsid w:val="00DA5C81"/>
    <w:rsid w:val="00DA6BD5"/>
    <w:rsid w:val="00DB27D0"/>
    <w:rsid w:val="00DB30AA"/>
    <w:rsid w:val="00DB6991"/>
    <w:rsid w:val="00DB7D27"/>
    <w:rsid w:val="00DB7E27"/>
    <w:rsid w:val="00DC48B9"/>
    <w:rsid w:val="00DC5393"/>
    <w:rsid w:val="00DD05CA"/>
    <w:rsid w:val="00DD1244"/>
    <w:rsid w:val="00DD19DC"/>
    <w:rsid w:val="00DD539B"/>
    <w:rsid w:val="00DE173A"/>
    <w:rsid w:val="00DE1AE5"/>
    <w:rsid w:val="00DE1EA7"/>
    <w:rsid w:val="00DE4F7A"/>
    <w:rsid w:val="00DE69A0"/>
    <w:rsid w:val="00DF04BE"/>
    <w:rsid w:val="00DF14C9"/>
    <w:rsid w:val="00DF26CD"/>
    <w:rsid w:val="00DF2AE7"/>
    <w:rsid w:val="00DF318D"/>
    <w:rsid w:val="00DF7622"/>
    <w:rsid w:val="00E0095B"/>
    <w:rsid w:val="00E0380E"/>
    <w:rsid w:val="00E04045"/>
    <w:rsid w:val="00E0706F"/>
    <w:rsid w:val="00E16EEF"/>
    <w:rsid w:val="00E2114A"/>
    <w:rsid w:val="00E21F8C"/>
    <w:rsid w:val="00E24525"/>
    <w:rsid w:val="00E311DB"/>
    <w:rsid w:val="00E31864"/>
    <w:rsid w:val="00E3189C"/>
    <w:rsid w:val="00E32B0B"/>
    <w:rsid w:val="00E33863"/>
    <w:rsid w:val="00E33A18"/>
    <w:rsid w:val="00E343B1"/>
    <w:rsid w:val="00E41777"/>
    <w:rsid w:val="00E41D0B"/>
    <w:rsid w:val="00E42C06"/>
    <w:rsid w:val="00E465F1"/>
    <w:rsid w:val="00E525EC"/>
    <w:rsid w:val="00E54E99"/>
    <w:rsid w:val="00E56226"/>
    <w:rsid w:val="00E62415"/>
    <w:rsid w:val="00E70E54"/>
    <w:rsid w:val="00E72B62"/>
    <w:rsid w:val="00E72BEC"/>
    <w:rsid w:val="00E72E2A"/>
    <w:rsid w:val="00E73305"/>
    <w:rsid w:val="00E801B1"/>
    <w:rsid w:val="00E8175D"/>
    <w:rsid w:val="00E83121"/>
    <w:rsid w:val="00E871D1"/>
    <w:rsid w:val="00E87BFF"/>
    <w:rsid w:val="00E93590"/>
    <w:rsid w:val="00E95149"/>
    <w:rsid w:val="00E9785C"/>
    <w:rsid w:val="00EA55A5"/>
    <w:rsid w:val="00EA76D7"/>
    <w:rsid w:val="00EB183B"/>
    <w:rsid w:val="00EB31C5"/>
    <w:rsid w:val="00EB3B7F"/>
    <w:rsid w:val="00EB61EA"/>
    <w:rsid w:val="00EB6618"/>
    <w:rsid w:val="00EB73F5"/>
    <w:rsid w:val="00EC6167"/>
    <w:rsid w:val="00EC71C0"/>
    <w:rsid w:val="00ED1AAF"/>
    <w:rsid w:val="00ED2F2B"/>
    <w:rsid w:val="00ED6988"/>
    <w:rsid w:val="00EE3A24"/>
    <w:rsid w:val="00EF1E76"/>
    <w:rsid w:val="00EF29B4"/>
    <w:rsid w:val="00EF6E3D"/>
    <w:rsid w:val="00F0216C"/>
    <w:rsid w:val="00F117F7"/>
    <w:rsid w:val="00F15D98"/>
    <w:rsid w:val="00F31198"/>
    <w:rsid w:val="00F31315"/>
    <w:rsid w:val="00F32550"/>
    <w:rsid w:val="00F3577D"/>
    <w:rsid w:val="00F35DBA"/>
    <w:rsid w:val="00F36A12"/>
    <w:rsid w:val="00F36BC6"/>
    <w:rsid w:val="00F5311F"/>
    <w:rsid w:val="00F54E57"/>
    <w:rsid w:val="00F578BE"/>
    <w:rsid w:val="00F63BD2"/>
    <w:rsid w:val="00F63CDB"/>
    <w:rsid w:val="00F64132"/>
    <w:rsid w:val="00F64B6C"/>
    <w:rsid w:val="00F6714C"/>
    <w:rsid w:val="00F700C0"/>
    <w:rsid w:val="00F701EB"/>
    <w:rsid w:val="00F750B2"/>
    <w:rsid w:val="00F77373"/>
    <w:rsid w:val="00F84AC5"/>
    <w:rsid w:val="00F84BAE"/>
    <w:rsid w:val="00F8666D"/>
    <w:rsid w:val="00F90D28"/>
    <w:rsid w:val="00F934E6"/>
    <w:rsid w:val="00F97A3A"/>
    <w:rsid w:val="00FA0DD6"/>
    <w:rsid w:val="00FA1226"/>
    <w:rsid w:val="00FA1831"/>
    <w:rsid w:val="00FA31BA"/>
    <w:rsid w:val="00FA4F24"/>
    <w:rsid w:val="00FA566F"/>
    <w:rsid w:val="00FA735F"/>
    <w:rsid w:val="00FB29EC"/>
    <w:rsid w:val="00FB3FBB"/>
    <w:rsid w:val="00FB5036"/>
    <w:rsid w:val="00FB7E11"/>
    <w:rsid w:val="00FC2E1A"/>
    <w:rsid w:val="00FC6CBD"/>
    <w:rsid w:val="00FD3D2D"/>
    <w:rsid w:val="00FD61A1"/>
    <w:rsid w:val="00FD7C7D"/>
    <w:rsid w:val="00FE3B38"/>
    <w:rsid w:val="00FE7FA6"/>
    <w:rsid w:val="00FF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748E0"/>
  <w14:defaultImageDpi w14:val="0"/>
  <w15:docId w15:val="{831F34B3-7ADE-4D21-97C0-F51517D7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3"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0"/>
    <w:uiPriority w:val="9"/>
    <w:qFormat/>
    <w:rsid w:val="00B05750"/>
    <w:pPr>
      <w:numPr>
        <w:ilvl w:val="2"/>
        <w:numId w:val="1"/>
      </w:numPr>
      <w:tabs>
        <w:tab w:val="clear" w:pos="360"/>
        <w:tab w:val="num" w:pos="643"/>
      </w:tabs>
      <w:ind w:left="643"/>
      <w:jc w:val="both"/>
      <w:outlineLvl w:val="2"/>
    </w:pPr>
    <w:rPr>
      <w:b/>
      <w:szCs w:val="28"/>
    </w:rPr>
  </w:style>
  <w:style w:type="paragraph" w:styleId="4">
    <w:name w:val="heading 4"/>
    <w:basedOn w:val="a"/>
    <w:next w:val="a"/>
    <w:link w:val="40"/>
    <w:uiPriority w:val="9"/>
    <w:qFormat/>
    <w:pPr>
      <w:keepNext/>
      <w:jc w:val="center"/>
      <w:outlineLvl w:val="3"/>
    </w:pPr>
    <w:rPr>
      <w:b/>
      <w:sz w:val="24"/>
    </w:rPr>
  </w:style>
  <w:style w:type="paragraph" w:styleId="5">
    <w:name w:val="heading 5"/>
    <w:basedOn w:val="a"/>
    <w:next w:val="a"/>
    <w:link w:val="50"/>
    <w:uiPriority w:val="9"/>
    <w:qFormat/>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cs="Times New Roman"/>
      <w:b/>
      <w:sz w:val="28"/>
      <w:szCs w:val="28"/>
    </w:rPr>
  </w:style>
  <w:style w:type="character" w:customStyle="1" w:styleId="30">
    <w:name w:val="Заголовок 3 Знак"/>
    <w:basedOn w:val="a0"/>
    <w:link w:val="3"/>
    <w:uiPriority w:val="9"/>
    <w:locked/>
    <w:rPr>
      <w:rFonts w:cs="Times New Roman"/>
      <w:b/>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ind w:left="3912"/>
    </w:pPr>
  </w:style>
  <w:style w:type="character" w:customStyle="1" w:styleId="a4">
    <w:name w:val="Основной текст с отступом Знак"/>
    <w:basedOn w:val="a0"/>
    <w:link w:val="a3"/>
    <w:uiPriority w:val="99"/>
    <w:semiHidden/>
    <w:locked/>
    <w:rPr>
      <w:rFonts w:cs="Times New Roman"/>
      <w:sz w:val="28"/>
    </w:rPr>
  </w:style>
  <w:style w:type="paragraph" w:styleId="21">
    <w:name w:val="Body Text Indent 2"/>
    <w:basedOn w:val="a"/>
    <w:link w:val="22"/>
    <w:pPr>
      <w:ind w:firstLine="720"/>
      <w:jc w:val="both"/>
    </w:pPr>
  </w:style>
  <w:style w:type="character" w:customStyle="1" w:styleId="22">
    <w:name w:val="Основной текст с отступом 2 Знак"/>
    <w:basedOn w:val="a0"/>
    <w:link w:val="21"/>
    <w:locked/>
    <w:rPr>
      <w:rFonts w:cs="Times New Roman"/>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Pr>
      <w:rFonts w:cs="Times New Roman"/>
    </w:rPr>
  </w:style>
  <w:style w:type="paragraph" w:styleId="23">
    <w:name w:val="List 2"/>
    <w:basedOn w:val="a"/>
    <w:uiPriority w:val="99"/>
    <w:pPr>
      <w:ind w:left="566" w:hanging="283"/>
    </w:pPr>
  </w:style>
  <w:style w:type="paragraph" w:styleId="a8">
    <w:name w:val="List Bullet"/>
    <w:basedOn w:val="a"/>
    <w:autoRedefine/>
    <w:uiPriority w:val="99"/>
    <w:pPr>
      <w:keepNext/>
      <w:jc w:val="both"/>
    </w:pPr>
    <w:rPr>
      <w:b/>
    </w:rPr>
  </w:style>
  <w:style w:type="paragraph" w:styleId="24">
    <w:name w:val="List Bullet 2"/>
    <w:basedOn w:val="a"/>
    <w:autoRedefine/>
    <w:uiPriority w:val="99"/>
    <w:pPr>
      <w:jc w:val="both"/>
    </w:pPr>
  </w:style>
  <w:style w:type="paragraph" w:styleId="31">
    <w:name w:val="List Bullet 3"/>
    <w:basedOn w:val="a"/>
    <w:autoRedefine/>
    <w:uiPriority w:val="99"/>
    <w:pPr>
      <w:ind w:firstLine="720"/>
      <w:jc w:val="both"/>
    </w:pPr>
  </w:style>
  <w:style w:type="paragraph" w:styleId="25">
    <w:name w:val="List Continue 2"/>
    <w:basedOn w:val="a"/>
    <w:uiPriority w:val="99"/>
    <w:pPr>
      <w:spacing w:after="120"/>
      <w:ind w:left="566"/>
    </w:pPr>
  </w:style>
  <w:style w:type="paragraph" w:styleId="32">
    <w:name w:val="List Continue 3"/>
    <w:basedOn w:val="a"/>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pPr>
      <w:ind w:firstLine="720"/>
    </w:p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26">
    <w:name w:val="Body Text 2"/>
    <w:basedOn w:val="a"/>
    <w:link w:val="27"/>
    <w:uiPriority w:val="99"/>
    <w:pPr>
      <w:jc w:val="center"/>
    </w:pPr>
  </w:style>
  <w:style w:type="character" w:customStyle="1" w:styleId="27">
    <w:name w:val="Основной текст 2 Знак"/>
    <w:basedOn w:val="a0"/>
    <w:link w:val="26"/>
    <w:uiPriority w:val="99"/>
    <w:semiHidden/>
    <w:locked/>
    <w:rPr>
      <w:rFonts w:cs="Times New Roman"/>
      <w:sz w:val="28"/>
    </w:rPr>
  </w:style>
  <w:style w:type="paragraph" w:styleId="ab">
    <w:name w:val="Title"/>
    <w:basedOn w:val="a"/>
    <w:link w:val="ac"/>
    <w:uiPriority w:val="10"/>
    <w:qFormat/>
    <w:pPr>
      <w:jc w:val="center"/>
    </w:pPr>
    <w:rPr>
      <w:lang w:val="en-US"/>
    </w:rPr>
  </w:style>
  <w:style w:type="character" w:customStyle="1" w:styleId="ac">
    <w:name w:val="Заголовок Знак"/>
    <w:basedOn w:val="a0"/>
    <w:link w:val="ab"/>
    <w:uiPriority w:val="10"/>
    <w:locked/>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Pr>
      <w:sz w:val="20"/>
    </w:rPr>
  </w:style>
  <w:style w:type="character" w:customStyle="1" w:styleId="ae">
    <w:name w:val="Текст сноски Знак"/>
    <w:basedOn w:val="a0"/>
    <w:link w:val="ad"/>
    <w:uiPriority w:val="99"/>
    <w:semiHidden/>
    <w:locked/>
    <w:rPr>
      <w:rFonts w:cs="Times New Roman"/>
    </w:rPr>
  </w:style>
  <w:style w:type="character" w:styleId="af">
    <w:name w:val="footnote reference"/>
    <w:basedOn w:val="a0"/>
    <w:uiPriority w:val="99"/>
    <w:semiHidden/>
    <w:rPr>
      <w:rFonts w:cs="Times New Roman"/>
      <w:vertAlign w:val="superscript"/>
    </w:rPr>
  </w:style>
  <w:style w:type="paragraph" w:styleId="af0">
    <w:name w:val="Block Text"/>
    <w:basedOn w:val="a"/>
    <w:uiPriority w:val="99"/>
    <w:pPr>
      <w:ind w:left="-45" w:right="-124"/>
      <w:jc w:val="center"/>
    </w:pPr>
    <w:rPr>
      <w:lang w:val="en-US"/>
    </w:rPr>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basedOn w:val="a0"/>
    <w:link w:val="af1"/>
    <w:uiPriority w:val="99"/>
    <w:locked/>
    <w:rPr>
      <w:rFonts w:cs="Times New Roman"/>
      <w:sz w:val="28"/>
    </w:rPr>
  </w:style>
  <w:style w:type="paragraph" w:styleId="35">
    <w:name w:val="Body Text 3"/>
    <w:basedOn w:val="a"/>
    <w:link w:val="36"/>
    <w:uiPriority w:val="99"/>
    <w:pPr>
      <w:jc w:val="center"/>
    </w:pPr>
    <w:rPr>
      <w:b/>
    </w:rPr>
  </w:style>
  <w:style w:type="character" w:customStyle="1" w:styleId="36">
    <w:name w:val="Основной текст 3 Знак"/>
    <w:basedOn w:val="a0"/>
    <w:link w:val="35"/>
    <w:uiPriority w:val="99"/>
    <w:semiHidden/>
    <w:locked/>
    <w:rPr>
      <w:rFonts w:cs="Times New Roman"/>
      <w:sz w:val="16"/>
      <w:szCs w:val="16"/>
    </w:rPr>
  </w:style>
  <w:style w:type="paragraph" w:styleId="af3">
    <w:name w:val="List"/>
    <w:basedOn w:val="a"/>
    <w:uiPriority w:val="99"/>
    <w:pPr>
      <w:ind w:left="283" w:hanging="283"/>
    </w:pPr>
  </w:style>
  <w:style w:type="paragraph" w:styleId="37">
    <w:name w:val="List 3"/>
    <w:basedOn w:val="a"/>
    <w:uiPriority w:val="99"/>
    <w:pPr>
      <w:ind w:left="849" w:hanging="283"/>
    </w:pPr>
  </w:style>
  <w:style w:type="paragraph" w:styleId="41">
    <w:name w:val="List 4"/>
    <w:basedOn w:val="a"/>
    <w:uiPriority w:val="99"/>
    <w:pPr>
      <w:ind w:left="1132" w:hanging="283"/>
    </w:pPr>
  </w:style>
  <w:style w:type="paragraph" w:styleId="af4">
    <w:name w:val="Date"/>
    <w:basedOn w:val="a"/>
    <w:next w:val="a"/>
    <w:link w:val="af5"/>
    <w:uiPriority w:val="99"/>
  </w:style>
  <w:style w:type="character" w:customStyle="1" w:styleId="af5">
    <w:name w:val="Дата Знак"/>
    <w:basedOn w:val="a0"/>
    <w:link w:val="af4"/>
    <w:uiPriority w:val="99"/>
    <w:semiHidden/>
    <w:locked/>
    <w:rPr>
      <w:rFonts w:cs="Times New Roman"/>
      <w:sz w:val="28"/>
    </w:rPr>
  </w:style>
  <w:style w:type="paragraph" w:styleId="af6">
    <w:name w:val="Subtitle"/>
    <w:basedOn w:val="a"/>
    <w:link w:val="af7"/>
    <w:uiPriority w:val="11"/>
    <w:qFormat/>
    <w:pPr>
      <w:spacing w:after="60"/>
      <w:jc w:val="center"/>
      <w:outlineLvl w:val="1"/>
    </w:pPr>
    <w:rPr>
      <w:rFonts w:ascii="Arial" w:hAnsi="Arial"/>
      <w:sz w:val="24"/>
    </w:rPr>
  </w:style>
  <w:style w:type="character" w:customStyle="1" w:styleId="af7">
    <w:name w:val="Подзаголовок Знак"/>
    <w:basedOn w:val="a0"/>
    <w:link w:val="af6"/>
    <w:uiPriority w:val="11"/>
    <w:locked/>
    <w:rPr>
      <w:rFonts w:asciiTheme="majorHAnsi" w:eastAsiaTheme="majorEastAsia" w:hAnsiTheme="majorHAnsi" w:cs="Times New Roman"/>
      <w:sz w:val="24"/>
      <w:szCs w:val="24"/>
    </w:rPr>
  </w:style>
  <w:style w:type="character" w:styleId="af8">
    <w:name w:val="Hyperlink"/>
    <w:basedOn w:val="a0"/>
    <w:uiPriority w:val="99"/>
    <w:rPr>
      <w:rFonts w:cs="Times New Roman"/>
      <w:color w:val="0000FF"/>
      <w:u w:val="single"/>
    </w:rPr>
  </w:style>
  <w:style w:type="character" w:styleId="af9">
    <w:name w:val="FollowedHyperlink"/>
    <w:basedOn w:val="a0"/>
    <w:uiPriority w:val="99"/>
    <w:rPr>
      <w:rFonts w:cs="Times New Roman"/>
      <w:color w:val="800080"/>
      <w:u w:val="single"/>
    </w:rPr>
  </w:style>
  <w:style w:type="table" w:styleId="afa">
    <w:name w:val="Table Grid"/>
    <w:basedOn w:val="a1"/>
    <w:uiPriority w:val="5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styleId="afd">
    <w:name w:val="List Paragraph"/>
    <w:basedOn w:val="a"/>
    <w:uiPriority w:val="34"/>
    <w:qFormat/>
    <w:rsid w:val="003828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6">
    <w:name w:val="Font Style16"/>
    <w:basedOn w:val="a0"/>
    <w:uiPriority w:val="99"/>
    <w:rsid w:val="00382893"/>
    <w:rPr>
      <w:rFonts w:ascii="Times New Roman" w:hAnsi="Times New Roman" w:cs="Times New Roman" w:hint="default"/>
      <w:sz w:val="22"/>
      <w:szCs w:val="22"/>
    </w:rPr>
  </w:style>
  <w:style w:type="character" w:customStyle="1" w:styleId="ConsPlusNormal">
    <w:name w:val="ConsPlusNormal Знак"/>
    <w:link w:val="ConsPlusNormal0"/>
    <w:locked/>
    <w:rsid w:val="00AD784D"/>
    <w:rPr>
      <w:sz w:val="24"/>
      <w:szCs w:val="24"/>
    </w:rPr>
  </w:style>
  <w:style w:type="paragraph" w:customStyle="1" w:styleId="ConsPlusNormal0">
    <w:name w:val="ConsPlusNormal"/>
    <w:link w:val="ConsPlusNormal"/>
    <w:rsid w:val="00AD784D"/>
    <w:pPr>
      <w:autoSpaceDE w:val="0"/>
      <w:autoSpaceDN w:val="0"/>
      <w:adjustRightInd w:val="0"/>
    </w:pPr>
    <w:rPr>
      <w:sz w:val="24"/>
      <w:szCs w:val="24"/>
    </w:rPr>
  </w:style>
  <w:style w:type="paragraph" w:styleId="afe">
    <w:name w:val="caption"/>
    <w:basedOn w:val="a"/>
    <w:next w:val="a"/>
    <w:unhideWhenUsed/>
    <w:qFormat/>
    <w:rsid w:val="00801F4D"/>
    <w:pPr>
      <w:spacing w:after="200"/>
    </w:pPr>
    <w:rPr>
      <w:i/>
      <w:iCs/>
      <w:color w:val="1F497D" w:themeColor="text2"/>
      <w:sz w:val="18"/>
      <w:szCs w:val="18"/>
    </w:rPr>
  </w:style>
  <w:style w:type="paragraph" w:styleId="aff">
    <w:name w:val="Normal (Web)"/>
    <w:basedOn w:val="a"/>
    <w:rsid w:val="00BA0F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2348">
      <w:bodyDiv w:val="1"/>
      <w:marLeft w:val="0"/>
      <w:marRight w:val="0"/>
      <w:marTop w:val="0"/>
      <w:marBottom w:val="0"/>
      <w:divBdr>
        <w:top w:val="none" w:sz="0" w:space="0" w:color="auto"/>
        <w:left w:val="none" w:sz="0" w:space="0" w:color="auto"/>
        <w:bottom w:val="none" w:sz="0" w:space="0" w:color="auto"/>
        <w:right w:val="none" w:sz="0" w:space="0" w:color="auto"/>
      </w:divBdr>
    </w:div>
    <w:div w:id="56638002">
      <w:bodyDiv w:val="1"/>
      <w:marLeft w:val="0"/>
      <w:marRight w:val="0"/>
      <w:marTop w:val="0"/>
      <w:marBottom w:val="0"/>
      <w:divBdr>
        <w:top w:val="none" w:sz="0" w:space="0" w:color="auto"/>
        <w:left w:val="none" w:sz="0" w:space="0" w:color="auto"/>
        <w:bottom w:val="none" w:sz="0" w:space="0" w:color="auto"/>
        <w:right w:val="none" w:sz="0" w:space="0" w:color="auto"/>
      </w:divBdr>
    </w:div>
    <w:div w:id="85078587">
      <w:bodyDiv w:val="1"/>
      <w:marLeft w:val="0"/>
      <w:marRight w:val="0"/>
      <w:marTop w:val="0"/>
      <w:marBottom w:val="0"/>
      <w:divBdr>
        <w:top w:val="none" w:sz="0" w:space="0" w:color="auto"/>
        <w:left w:val="none" w:sz="0" w:space="0" w:color="auto"/>
        <w:bottom w:val="none" w:sz="0" w:space="0" w:color="auto"/>
        <w:right w:val="none" w:sz="0" w:space="0" w:color="auto"/>
      </w:divBdr>
    </w:div>
    <w:div w:id="135951955">
      <w:bodyDiv w:val="1"/>
      <w:marLeft w:val="0"/>
      <w:marRight w:val="0"/>
      <w:marTop w:val="0"/>
      <w:marBottom w:val="0"/>
      <w:divBdr>
        <w:top w:val="none" w:sz="0" w:space="0" w:color="auto"/>
        <w:left w:val="none" w:sz="0" w:space="0" w:color="auto"/>
        <w:bottom w:val="none" w:sz="0" w:space="0" w:color="auto"/>
        <w:right w:val="none" w:sz="0" w:space="0" w:color="auto"/>
      </w:divBdr>
    </w:div>
    <w:div w:id="198393108">
      <w:bodyDiv w:val="1"/>
      <w:marLeft w:val="0"/>
      <w:marRight w:val="0"/>
      <w:marTop w:val="0"/>
      <w:marBottom w:val="0"/>
      <w:divBdr>
        <w:top w:val="none" w:sz="0" w:space="0" w:color="auto"/>
        <w:left w:val="none" w:sz="0" w:space="0" w:color="auto"/>
        <w:bottom w:val="none" w:sz="0" w:space="0" w:color="auto"/>
        <w:right w:val="none" w:sz="0" w:space="0" w:color="auto"/>
      </w:divBdr>
    </w:div>
    <w:div w:id="234358397">
      <w:bodyDiv w:val="1"/>
      <w:marLeft w:val="0"/>
      <w:marRight w:val="0"/>
      <w:marTop w:val="0"/>
      <w:marBottom w:val="0"/>
      <w:divBdr>
        <w:top w:val="none" w:sz="0" w:space="0" w:color="auto"/>
        <w:left w:val="none" w:sz="0" w:space="0" w:color="auto"/>
        <w:bottom w:val="none" w:sz="0" w:space="0" w:color="auto"/>
        <w:right w:val="none" w:sz="0" w:space="0" w:color="auto"/>
      </w:divBdr>
    </w:div>
    <w:div w:id="272640379">
      <w:bodyDiv w:val="1"/>
      <w:marLeft w:val="0"/>
      <w:marRight w:val="0"/>
      <w:marTop w:val="0"/>
      <w:marBottom w:val="0"/>
      <w:divBdr>
        <w:top w:val="none" w:sz="0" w:space="0" w:color="auto"/>
        <w:left w:val="none" w:sz="0" w:space="0" w:color="auto"/>
        <w:bottom w:val="none" w:sz="0" w:space="0" w:color="auto"/>
        <w:right w:val="none" w:sz="0" w:space="0" w:color="auto"/>
      </w:divBdr>
    </w:div>
    <w:div w:id="366221740">
      <w:bodyDiv w:val="1"/>
      <w:marLeft w:val="0"/>
      <w:marRight w:val="0"/>
      <w:marTop w:val="0"/>
      <w:marBottom w:val="0"/>
      <w:divBdr>
        <w:top w:val="none" w:sz="0" w:space="0" w:color="auto"/>
        <w:left w:val="none" w:sz="0" w:space="0" w:color="auto"/>
        <w:bottom w:val="none" w:sz="0" w:space="0" w:color="auto"/>
        <w:right w:val="none" w:sz="0" w:space="0" w:color="auto"/>
      </w:divBdr>
    </w:div>
    <w:div w:id="467092390">
      <w:bodyDiv w:val="1"/>
      <w:marLeft w:val="0"/>
      <w:marRight w:val="0"/>
      <w:marTop w:val="0"/>
      <w:marBottom w:val="0"/>
      <w:divBdr>
        <w:top w:val="none" w:sz="0" w:space="0" w:color="auto"/>
        <w:left w:val="none" w:sz="0" w:space="0" w:color="auto"/>
        <w:bottom w:val="none" w:sz="0" w:space="0" w:color="auto"/>
        <w:right w:val="none" w:sz="0" w:space="0" w:color="auto"/>
      </w:divBdr>
    </w:div>
    <w:div w:id="484056166">
      <w:bodyDiv w:val="1"/>
      <w:marLeft w:val="0"/>
      <w:marRight w:val="0"/>
      <w:marTop w:val="0"/>
      <w:marBottom w:val="0"/>
      <w:divBdr>
        <w:top w:val="none" w:sz="0" w:space="0" w:color="auto"/>
        <w:left w:val="none" w:sz="0" w:space="0" w:color="auto"/>
        <w:bottom w:val="none" w:sz="0" w:space="0" w:color="auto"/>
        <w:right w:val="none" w:sz="0" w:space="0" w:color="auto"/>
      </w:divBdr>
    </w:div>
    <w:div w:id="488059224">
      <w:bodyDiv w:val="1"/>
      <w:marLeft w:val="0"/>
      <w:marRight w:val="0"/>
      <w:marTop w:val="0"/>
      <w:marBottom w:val="0"/>
      <w:divBdr>
        <w:top w:val="none" w:sz="0" w:space="0" w:color="auto"/>
        <w:left w:val="none" w:sz="0" w:space="0" w:color="auto"/>
        <w:bottom w:val="none" w:sz="0" w:space="0" w:color="auto"/>
        <w:right w:val="none" w:sz="0" w:space="0" w:color="auto"/>
      </w:divBdr>
    </w:div>
    <w:div w:id="491795144">
      <w:bodyDiv w:val="1"/>
      <w:marLeft w:val="0"/>
      <w:marRight w:val="0"/>
      <w:marTop w:val="0"/>
      <w:marBottom w:val="0"/>
      <w:divBdr>
        <w:top w:val="none" w:sz="0" w:space="0" w:color="auto"/>
        <w:left w:val="none" w:sz="0" w:space="0" w:color="auto"/>
        <w:bottom w:val="none" w:sz="0" w:space="0" w:color="auto"/>
        <w:right w:val="none" w:sz="0" w:space="0" w:color="auto"/>
      </w:divBdr>
    </w:div>
    <w:div w:id="531453628">
      <w:bodyDiv w:val="1"/>
      <w:marLeft w:val="0"/>
      <w:marRight w:val="0"/>
      <w:marTop w:val="0"/>
      <w:marBottom w:val="0"/>
      <w:divBdr>
        <w:top w:val="none" w:sz="0" w:space="0" w:color="auto"/>
        <w:left w:val="none" w:sz="0" w:space="0" w:color="auto"/>
        <w:bottom w:val="none" w:sz="0" w:space="0" w:color="auto"/>
        <w:right w:val="none" w:sz="0" w:space="0" w:color="auto"/>
      </w:divBdr>
    </w:div>
    <w:div w:id="603343307">
      <w:bodyDiv w:val="1"/>
      <w:marLeft w:val="0"/>
      <w:marRight w:val="0"/>
      <w:marTop w:val="0"/>
      <w:marBottom w:val="0"/>
      <w:divBdr>
        <w:top w:val="none" w:sz="0" w:space="0" w:color="auto"/>
        <w:left w:val="none" w:sz="0" w:space="0" w:color="auto"/>
        <w:bottom w:val="none" w:sz="0" w:space="0" w:color="auto"/>
        <w:right w:val="none" w:sz="0" w:space="0" w:color="auto"/>
      </w:divBdr>
    </w:div>
    <w:div w:id="752514534">
      <w:bodyDiv w:val="1"/>
      <w:marLeft w:val="0"/>
      <w:marRight w:val="0"/>
      <w:marTop w:val="0"/>
      <w:marBottom w:val="0"/>
      <w:divBdr>
        <w:top w:val="none" w:sz="0" w:space="0" w:color="auto"/>
        <w:left w:val="none" w:sz="0" w:space="0" w:color="auto"/>
        <w:bottom w:val="none" w:sz="0" w:space="0" w:color="auto"/>
        <w:right w:val="none" w:sz="0" w:space="0" w:color="auto"/>
      </w:divBdr>
    </w:div>
    <w:div w:id="857037718">
      <w:bodyDiv w:val="1"/>
      <w:marLeft w:val="0"/>
      <w:marRight w:val="0"/>
      <w:marTop w:val="0"/>
      <w:marBottom w:val="0"/>
      <w:divBdr>
        <w:top w:val="none" w:sz="0" w:space="0" w:color="auto"/>
        <w:left w:val="none" w:sz="0" w:space="0" w:color="auto"/>
        <w:bottom w:val="none" w:sz="0" w:space="0" w:color="auto"/>
        <w:right w:val="none" w:sz="0" w:space="0" w:color="auto"/>
      </w:divBdr>
    </w:div>
    <w:div w:id="959608532">
      <w:bodyDiv w:val="1"/>
      <w:marLeft w:val="0"/>
      <w:marRight w:val="0"/>
      <w:marTop w:val="0"/>
      <w:marBottom w:val="0"/>
      <w:divBdr>
        <w:top w:val="none" w:sz="0" w:space="0" w:color="auto"/>
        <w:left w:val="none" w:sz="0" w:space="0" w:color="auto"/>
        <w:bottom w:val="none" w:sz="0" w:space="0" w:color="auto"/>
        <w:right w:val="none" w:sz="0" w:space="0" w:color="auto"/>
      </w:divBdr>
    </w:div>
    <w:div w:id="1001809570">
      <w:bodyDiv w:val="1"/>
      <w:marLeft w:val="0"/>
      <w:marRight w:val="0"/>
      <w:marTop w:val="0"/>
      <w:marBottom w:val="0"/>
      <w:divBdr>
        <w:top w:val="none" w:sz="0" w:space="0" w:color="auto"/>
        <w:left w:val="none" w:sz="0" w:space="0" w:color="auto"/>
        <w:bottom w:val="none" w:sz="0" w:space="0" w:color="auto"/>
        <w:right w:val="none" w:sz="0" w:space="0" w:color="auto"/>
      </w:divBdr>
    </w:div>
    <w:div w:id="1070808583">
      <w:bodyDiv w:val="1"/>
      <w:marLeft w:val="0"/>
      <w:marRight w:val="0"/>
      <w:marTop w:val="0"/>
      <w:marBottom w:val="0"/>
      <w:divBdr>
        <w:top w:val="none" w:sz="0" w:space="0" w:color="auto"/>
        <w:left w:val="none" w:sz="0" w:space="0" w:color="auto"/>
        <w:bottom w:val="none" w:sz="0" w:space="0" w:color="auto"/>
        <w:right w:val="none" w:sz="0" w:space="0" w:color="auto"/>
      </w:divBdr>
    </w:div>
    <w:div w:id="1168204590">
      <w:bodyDiv w:val="1"/>
      <w:marLeft w:val="0"/>
      <w:marRight w:val="0"/>
      <w:marTop w:val="0"/>
      <w:marBottom w:val="0"/>
      <w:divBdr>
        <w:top w:val="none" w:sz="0" w:space="0" w:color="auto"/>
        <w:left w:val="none" w:sz="0" w:space="0" w:color="auto"/>
        <w:bottom w:val="none" w:sz="0" w:space="0" w:color="auto"/>
        <w:right w:val="none" w:sz="0" w:space="0" w:color="auto"/>
      </w:divBdr>
    </w:div>
    <w:div w:id="1178156782">
      <w:bodyDiv w:val="1"/>
      <w:marLeft w:val="0"/>
      <w:marRight w:val="0"/>
      <w:marTop w:val="0"/>
      <w:marBottom w:val="0"/>
      <w:divBdr>
        <w:top w:val="none" w:sz="0" w:space="0" w:color="auto"/>
        <w:left w:val="none" w:sz="0" w:space="0" w:color="auto"/>
        <w:bottom w:val="none" w:sz="0" w:space="0" w:color="auto"/>
        <w:right w:val="none" w:sz="0" w:space="0" w:color="auto"/>
      </w:divBdr>
    </w:div>
    <w:div w:id="1232810420">
      <w:bodyDiv w:val="1"/>
      <w:marLeft w:val="0"/>
      <w:marRight w:val="0"/>
      <w:marTop w:val="0"/>
      <w:marBottom w:val="0"/>
      <w:divBdr>
        <w:top w:val="none" w:sz="0" w:space="0" w:color="auto"/>
        <w:left w:val="none" w:sz="0" w:space="0" w:color="auto"/>
        <w:bottom w:val="none" w:sz="0" w:space="0" w:color="auto"/>
        <w:right w:val="none" w:sz="0" w:space="0" w:color="auto"/>
      </w:divBdr>
    </w:div>
    <w:div w:id="1376589291">
      <w:bodyDiv w:val="1"/>
      <w:marLeft w:val="0"/>
      <w:marRight w:val="0"/>
      <w:marTop w:val="0"/>
      <w:marBottom w:val="0"/>
      <w:divBdr>
        <w:top w:val="none" w:sz="0" w:space="0" w:color="auto"/>
        <w:left w:val="none" w:sz="0" w:space="0" w:color="auto"/>
        <w:bottom w:val="none" w:sz="0" w:space="0" w:color="auto"/>
        <w:right w:val="none" w:sz="0" w:space="0" w:color="auto"/>
      </w:divBdr>
    </w:div>
    <w:div w:id="1511677777">
      <w:bodyDiv w:val="1"/>
      <w:marLeft w:val="0"/>
      <w:marRight w:val="0"/>
      <w:marTop w:val="0"/>
      <w:marBottom w:val="0"/>
      <w:divBdr>
        <w:top w:val="none" w:sz="0" w:space="0" w:color="auto"/>
        <w:left w:val="none" w:sz="0" w:space="0" w:color="auto"/>
        <w:bottom w:val="none" w:sz="0" w:space="0" w:color="auto"/>
        <w:right w:val="none" w:sz="0" w:space="0" w:color="auto"/>
      </w:divBdr>
    </w:div>
    <w:div w:id="1662805672">
      <w:bodyDiv w:val="1"/>
      <w:marLeft w:val="0"/>
      <w:marRight w:val="0"/>
      <w:marTop w:val="0"/>
      <w:marBottom w:val="0"/>
      <w:divBdr>
        <w:top w:val="none" w:sz="0" w:space="0" w:color="auto"/>
        <w:left w:val="none" w:sz="0" w:space="0" w:color="auto"/>
        <w:bottom w:val="none" w:sz="0" w:space="0" w:color="auto"/>
        <w:right w:val="none" w:sz="0" w:space="0" w:color="auto"/>
      </w:divBdr>
    </w:div>
    <w:div w:id="1671592988">
      <w:bodyDiv w:val="1"/>
      <w:marLeft w:val="0"/>
      <w:marRight w:val="0"/>
      <w:marTop w:val="0"/>
      <w:marBottom w:val="0"/>
      <w:divBdr>
        <w:top w:val="none" w:sz="0" w:space="0" w:color="auto"/>
        <w:left w:val="none" w:sz="0" w:space="0" w:color="auto"/>
        <w:bottom w:val="none" w:sz="0" w:space="0" w:color="auto"/>
        <w:right w:val="none" w:sz="0" w:space="0" w:color="auto"/>
      </w:divBdr>
    </w:div>
    <w:div w:id="1781876567">
      <w:bodyDiv w:val="1"/>
      <w:marLeft w:val="0"/>
      <w:marRight w:val="0"/>
      <w:marTop w:val="0"/>
      <w:marBottom w:val="0"/>
      <w:divBdr>
        <w:top w:val="none" w:sz="0" w:space="0" w:color="auto"/>
        <w:left w:val="none" w:sz="0" w:space="0" w:color="auto"/>
        <w:bottom w:val="none" w:sz="0" w:space="0" w:color="auto"/>
        <w:right w:val="none" w:sz="0" w:space="0" w:color="auto"/>
      </w:divBdr>
    </w:div>
    <w:div w:id="1790123532">
      <w:bodyDiv w:val="1"/>
      <w:marLeft w:val="0"/>
      <w:marRight w:val="0"/>
      <w:marTop w:val="0"/>
      <w:marBottom w:val="0"/>
      <w:divBdr>
        <w:top w:val="none" w:sz="0" w:space="0" w:color="auto"/>
        <w:left w:val="none" w:sz="0" w:space="0" w:color="auto"/>
        <w:bottom w:val="none" w:sz="0" w:space="0" w:color="auto"/>
        <w:right w:val="none" w:sz="0" w:space="0" w:color="auto"/>
      </w:divBdr>
    </w:div>
    <w:div w:id="1908415499">
      <w:bodyDiv w:val="1"/>
      <w:marLeft w:val="0"/>
      <w:marRight w:val="0"/>
      <w:marTop w:val="0"/>
      <w:marBottom w:val="0"/>
      <w:divBdr>
        <w:top w:val="none" w:sz="0" w:space="0" w:color="auto"/>
        <w:left w:val="none" w:sz="0" w:space="0" w:color="auto"/>
        <w:bottom w:val="none" w:sz="0" w:space="0" w:color="auto"/>
        <w:right w:val="none" w:sz="0" w:space="0" w:color="auto"/>
      </w:divBdr>
    </w:div>
    <w:div w:id="1969848114">
      <w:marLeft w:val="0"/>
      <w:marRight w:val="0"/>
      <w:marTop w:val="0"/>
      <w:marBottom w:val="0"/>
      <w:divBdr>
        <w:top w:val="none" w:sz="0" w:space="0" w:color="auto"/>
        <w:left w:val="none" w:sz="0" w:space="0" w:color="auto"/>
        <w:bottom w:val="none" w:sz="0" w:space="0" w:color="auto"/>
        <w:right w:val="none" w:sz="0" w:space="0" w:color="auto"/>
      </w:divBdr>
    </w:div>
    <w:div w:id="1969848115">
      <w:marLeft w:val="0"/>
      <w:marRight w:val="0"/>
      <w:marTop w:val="0"/>
      <w:marBottom w:val="0"/>
      <w:divBdr>
        <w:top w:val="none" w:sz="0" w:space="0" w:color="auto"/>
        <w:left w:val="none" w:sz="0" w:space="0" w:color="auto"/>
        <w:bottom w:val="none" w:sz="0" w:space="0" w:color="auto"/>
        <w:right w:val="none" w:sz="0" w:space="0" w:color="auto"/>
      </w:divBdr>
    </w:div>
    <w:div w:id="2011327850">
      <w:bodyDiv w:val="1"/>
      <w:marLeft w:val="0"/>
      <w:marRight w:val="0"/>
      <w:marTop w:val="0"/>
      <w:marBottom w:val="0"/>
      <w:divBdr>
        <w:top w:val="none" w:sz="0" w:space="0" w:color="auto"/>
        <w:left w:val="none" w:sz="0" w:space="0" w:color="auto"/>
        <w:bottom w:val="none" w:sz="0" w:space="0" w:color="auto"/>
        <w:right w:val="none" w:sz="0" w:space="0" w:color="auto"/>
      </w:divBdr>
    </w:div>
    <w:div w:id="2062748027">
      <w:bodyDiv w:val="1"/>
      <w:marLeft w:val="0"/>
      <w:marRight w:val="0"/>
      <w:marTop w:val="0"/>
      <w:marBottom w:val="0"/>
      <w:divBdr>
        <w:top w:val="none" w:sz="0" w:space="0" w:color="auto"/>
        <w:left w:val="none" w:sz="0" w:space="0" w:color="auto"/>
        <w:bottom w:val="none" w:sz="0" w:space="0" w:color="auto"/>
        <w:right w:val="none" w:sz="0" w:space="0" w:color="auto"/>
      </w:divBdr>
    </w:div>
    <w:div w:id="21304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C75DF-3909-43A6-8057-63568914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4</Pages>
  <Words>1408</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subject/>
  <dc:creator>GAK_10</dc:creator>
  <cp:keywords/>
  <dc:description/>
  <cp:lastModifiedBy>Батурин Сергей Владимирович</cp:lastModifiedBy>
  <cp:revision>409</cp:revision>
  <cp:lastPrinted>2020-07-31T07:55:00Z</cp:lastPrinted>
  <dcterms:created xsi:type="dcterms:W3CDTF">2019-02-06T08:11:00Z</dcterms:created>
  <dcterms:modified xsi:type="dcterms:W3CDTF">2020-07-31T08:45:00Z</dcterms:modified>
</cp:coreProperties>
</file>